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Borders>
          <w:top w:val="single" w:sz="36" w:space="0" w:color="FFFFFF"/>
        </w:tblBorders>
        <w:shd w:val="clear" w:color="auto" w:fill="FFFFFF"/>
        <w:tblCellMar>
          <w:left w:w="0" w:type="dxa"/>
          <w:right w:w="0" w:type="dxa"/>
        </w:tblCellMar>
        <w:tblLook w:val="04A0"/>
      </w:tblPr>
      <w:tblGrid>
        <w:gridCol w:w="9450"/>
      </w:tblGrid>
      <w:tr w:rsidR="003B686D" w:rsidRPr="003B686D" w:rsidTr="003B686D">
        <w:trPr>
          <w:tblCellSpacing w:w="15" w:type="dxa"/>
        </w:trPr>
        <w:tc>
          <w:tcPr>
            <w:tcW w:w="0" w:type="auto"/>
            <w:shd w:val="clear" w:color="auto" w:fill="FFFFFF"/>
            <w:tcMar>
              <w:top w:w="15" w:type="dxa"/>
              <w:left w:w="15" w:type="dxa"/>
              <w:bottom w:w="15" w:type="dxa"/>
              <w:right w:w="15" w:type="dxa"/>
            </w:tcMar>
            <w:hideMark/>
          </w:tcPr>
          <w:p w:rsidR="003B686D" w:rsidRPr="003B686D" w:rsidRDefault="003B686D" w:rsidP="003B686D">
            <w:pPr>
              <w:spacing w:before="200" w:after="100" w:line="240" w:lineRule="auto"/>
              <w:outlineLvl w:val="1"/>
              <w:rPr>
                <w:rFonts w:ascii="Arial" w:eastAsia="Times New Roman" w:hAnsi="Arial" w:cs="Arial"/>
                <w:b/>
                <w:bCs/>
                <w:sz w:val="27"/>
                <w:szCs w:val="27"/>
              </w:rPr>
            </w:pPr>
            <w:r w:rsidRPr="003B686D">
              <w:rPr>
                <w:rFonts w:ascii="Arial" w:eastAsia="Times New Roman" w:hAnsi="Arial" w:cs="Arial"/>
                <w:b/>
                <w:bCs/>
                <w:sz w:val="27"/>
                <w:szCs w:val="27"/>
              </w:rPr>
              <w:t>Subpart YYYYY—National Emission Standards for Hazardous Air Pollutants for Area Sources: Electric Arc Furnace Steelmaking Facilities</w:t>
            </w:r>
          </w:p>
          <w:p w:rsidR="003B686D" w:rsidRPr="003B686D" w:rsidRDefault="003B686D" w:rsidP="003B686D">
            <w:pPr>
              <w:spacing w:after="0" w:line="240" w:lineRule="auto"/>
              <w:jc w:val="center"/>
              <w:rPr>
                <w:rFonts w:ascii="Arial" w:eastAsia="Times New Roman" w:hAnsi="Arial" w:cs="Arial"/>
                <w:sz w:val="20"/>
              </w:rPr>
            </w:pPr>
            <w:r w:rsidRPr="003B686D">
              <w:rPr>
                <w:rFonts w:ascii="Arial" w:eastAsia="Times New Roman" w:hAnsi="Arial" w:cs="Arial"/>
                <w:sz w:val="20"/>
              </w:rPr>
              <w:pict>
                <v:rect id="_x0000_i1066" style="width:0;height:1.5pt" o:hralign="center" o:hrstd="t" o:hr="t" fillcolor="#aca899" stroked="f"/>
              </w:pict>
            </w:r>
          </w:p>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b/>
                <w:bCs/>
                <w:sz w:val="20"/>
              </w:rPr>
              <w:t>Contents</w:t>
            </w:r>
          </w:p>
          <w:p w:rsidR="003B686D" w:rsidRPr="003B686D" w:rsidRDefault="003B686D" w:rsidP="003B686D">
            <w:pPr>
              <w:spacing w:after="100" w:afterAutospacing="1" w:line="240" w:lineRule="auto"/>
              <w:rPr>
                <w:rFonts w:ascii="Arial" w:eastAsia="Times New Roman" w:hAnsi="Arial" w:cs="Arial"/>
                <w:smallCaps/>
                <w:sz w:val="20"/>
              </w:rPr>
            </w:pPr>
            <w:hyperlink r:id="rId4" w:anchor="40:15.0.1.1.1.12.223" w:history="1">
              <w:r w:rsidRPr="003B686D">
                <w:rPr>
                  <w:rFonts w:ascii="Arial" w:eastAsia="Times New Roman" w:hAnsi="Arial" w:cs="Arial"/>
                  <w:smallCaps/>
                  <w:color w:val="0000FF"/>
                  <w:sz w:val="17"/>
                </w:rPr>
                <w:t>Applicability and Compliance Dates</w:t>
              </w:r>
            </w:hyperlink>
          </w:p>
          <w:p w:rsidR="003B686D" w:rsidRPr="003B686D" w:rsidRDefault="003B686D" w:rsidP="003B686D">
            <w:pPr>
              <w:spacing w:after="0" w:line="240" w:lineRule="auto"/>
              <w:rPr>
                <w:rFonts w:ascii="Arial" w:eastAsia="Times New Roman" w:hAnsi="Arial" w:cs="Arial"/>
                <w:sz w:val="20"/>
              </w:rPr>
            </w:pPr>
            <w:hyperlink r:id="rId5" w:anchor="40:15.0.1.1.1.12.223.1" w:history="1">
              <w:r w:rsidRPr="003B686D">
                <w:rPr>
                  <w:rFonts w:ascii="Arial" w:eastAsia="Times New Roman" w:hAnsi="Arial" w:cs="Arial"/>
                  <w:color w:val="0000FF"/>
                  <w:sz w:val="17"/>
                </w:rPr>
                <w:t>§63.10680   Am I subject to this subpart?</w:t>
              </w:r>
            </w:hyperlink>
            <w:r w:rsidRPr="003B686D">
              <w:rPr>
                <w:rFonts w:ascii="Arial" w:eastAsia="Times New Roman" w:hAnsi="Arial" w:cs="Arial"/>
                <w:sz w:val="20"/>
              </w:rPr>
              <w:br/>
            </w:r>
            <w:hyperlink r:id="rId6" w:anchor="40:15.0.1.1.1.12.223.2" w:history="1">
              <w:r w:rsidRPr="003B686D">
                <w:rPr>
                  <w:rFonts w:ascii="Arial" w:eastAsia="Times New Roman" w:hAnsi="Arial" w:cs="Arial"/>
                  <w:color w:val="0000FF"/>
                  <w:sz w:val="17"/>
                </w:rPr>
                <w:t>§63.10681   What are my compliance dates?</w:t>
              </w:r>
            </w:hyperlink>
          </w:p>
          <w:p w:rsidR="003B686D" w:rsidRPr="003B686D" w:rsidRDefault="003B686D" w:rsidP="003B686D">
            <w:pPr>
              <w:spacing w:after="100" w:afterAutospacing="1" w:line="240" w:lineRule="auto"/>
              <w:rPr>
                <w:rFonts w:ascii="Arial" w:eastAsia="Times New Roman" w:hAnsi="Arial" w:cs="Arial"/>
                <w:smallCaps/>
                <w:sz w:val="20"/>
              </w:rPr>
            </w:pPr>
            <w:hyperlink r:id="rId7" w:anchor="40:15.0.1.1.1.12.224" w:history="1">
              <w:r w:rsidRPr="003B686D">
                <w:rPr>
                  <w:rFonts w:ascii="Arial" w:eastAsia="Times New Roman" w:hAnsi="Arial" w:cs="Arial"/>
                  <w:smallCaps/>
                  <w:color w:val="0000FF"/>
                  <w:sz w:val="17"/>
                </w:rPr>
                <w:t>Standards and Compliance Requirements</w:t>
              </w:r>
            </w:hyperlink>
          </w:p>
          <w:p w:rsidR="003B686D" w:rsidRPr="003B686D" w:rsidRDefault="003B686D" w:rsidP="003B686D">
            <w:pPr>
              <w:spacing w:after="0" w:line="240" w:lineRule="auto"/>
              <w:rPr>
                <w:rFonts w:ascii="Arial" w:eastAsia="Times New Roman" w:hAnsi="Arial" w:cs="Arial"/>
                <w:sz w:val="20"/>
              </w:rPr>
            </w:pPr>
            <w:hyperlink r:id="rId8" w:anchor="40:15.0.1.1.1.12.224.3" w:history="1">
              <w:r w:rsidRPr="003B686D">
                <w:rPr>
                  <w:rFonts w:ascii="Arial" w:eastAsia="Times New Roman" w:hAnsi="Arial" w:cs="Arial"/>
                  <w:color w:val="0000FF"/>
                  <w:sz w:val="17"/>
                </w:rPr>
                <w:t>§63.10685   What are the requirements for the control of contaminants from scrap?</w:t>
              </w:r>
            </w:hyperlink>
            <w:r w:rsidRPr="003B686D">
              <w:rPr>
                <w:rFonts w:ascii="Arial" w:eastAsia="Times New Roman" w:hAnsi="Arial" w:cs="Arial"/>
                <w:sz w:val="20"/>
              </w:rPr>
              <w:br/>
            </w:r>
            <w:hyperlink r:id="rId9" w:anchor="40:15.0.1.1.1.12.224.4" w:history="1">
              <w:r w:rsidRPr="003B686D">
                <w:rPr>
                  <w:rFonts w:ascii="Arial" w:eastAsia="Times New Roman" w:hAnsi="Arial" w:cs="Arial"/>
                  <w:color w:val="0000FF"/>
                  <w:sz w:val="17"/>
                </w:rPr>
                <w:t>§63.10686   What are the requirements for electric arc furnaces and argon-oxygen decarburization vessels?</w:t>
              </w:r>
            </w:hyperlink>
          </w:p>
          <w:p w:rsidR="003B686D" w:rsidRPr="003B686D" w:rsidRDefault="003B686D" w:rsidP="003B686D">
            <w:pPr>
              <w:spacing w:after="100" w:afterAutospacing="1" w:line="240" w:lineRule="auto"/>
              <w:rPr>
                <w:rFonts w:ascii="Arial" w:eastAsia="Times New Roman" w:hAnsi="Arial" w:cs="Arial"/>
                <w:smallCaps/>
                <w:sz w:val="20"/>
              </w:rPr>
            </w:pPr>
            <w:hyperlink r:id="rId10" w:anchor="40:15.0.1.1.1.12.225" w:history="1">
              <w:r w:rsidRPr="003B686D">
                <w:rPr>
                  <w:rFonts w:ascii="Arial" w:eastAsia="Times New Roman" w:hAnsi="Arial" w:cs="Arial"/>
                  <w:smallCaps/>
                  <w:color w:val="0000FF"/>
                  <w:sz w:val="17"/>
                </w:rPr>
                <w:t>Other Information and Requirements</w:t>
              </w:r>
            </w:hyperlink>
          </w:p>
          <w:p w:rsidR="003B686D" w:rsidRPr="003B686D" w:rsidRDefault="003B686D" w:rsidP="003B686D">
            <w:pPr>
              <w:spacing w:after="0" w:line="240" w:lineRule="auto"/>
              <w:rPr>
                <w:rFonts w:ascii="Arial" w:eastAsia="Times New Roman" w:hAnsi="Arial" w:cs="Arial"/>
                <w:sz w:val="20"/>
              </w:rPr>
            </w:pPr>
            <w:hyperlink r:id="rId11" w:anchor="40:15.0.1.1.1.12.225.5" w:history="1">
              <w:r w:rsidRPr="003B686D">
                <w:rPr>
                  <w:rFonts w:ascii="Arial" w:eastAsia="Times New Roman" w:hAnsi="Arial" w:cs="Arial"/>
                  <w:color w:val="0000FF"/>
                  <w:sz w:val="17"/>
                </w:rPr>
                <w:t>§63.10690   What parts of the General Provisions apply to this subpart?</w:t>
              </w:r>
            </w:hyperlink>
            <w:r w:rsidRPr="003B686D">
              <w:rPr>
                <w:rFonts w:ascii="Arial" w:eastAsia="Times New Roman" w:hAnsi="Arial" w:cs="Arial"/>
                <w:sz w:val="20"/>
              </w:rPr>
              <w:br/>
            </w:r>
            <w:hyperlink r:id="rId12" w:anchor="40:15.0.1.1.1.12.225.6" w:history="1">
              <w:r w:rsidRPr="003B686D">
                <w:rPr>
                  <w:rFonts w:ascii="Arial" w:eastAsia="Times New Roman" w:hAnsi="Arial" w:cs="Arial"/>
                  <w:color w:val="0000FF"/>
                  <w:sz w:val="17"/>
                </w:rPr>
                <w:t>§63.10691   Who implements and enforces this subpart?</w:t>
              </w:r>
            </w:hyperlink>
            <w:r w:rsidRPr="003B686D">
              <w:rPr>
                <w:rFonts w:ascii="Arial" w:eastAsia="Times New Roman" w:hAnsi="Arial" w:cs="Arial"/>
                <w:sz w:val="20"/>
              </w:rPr>
              <w:br/>
            </w:r>
            <w:hyperlink r:id="rId13" w:anchor="40:15.0.1.1.1.12.225.7" w:history="1">
              <w:r w:rsidRPr="003B686D">
                <w:rPr>
                  <w:rFonts w:ascii="Arial" w:eastAsia="Times New Roman" w:hAnsi="Arial" w:cs="Arial"/>
                  <w:color w:val="0000FF"/>
                  <w:sz w:val="17"/>
                </w:rPr>
                <w:t>§63.10692   What definitions apply to this subpart?</w:t>
              </w:r>
            </w:hyperlink>
            <w:r w:rsidRPr="003B686D">
              <w:rPr>
                <w:rFonts w:ascii="Arial" w:eastAsia="Times New Roman" w:hAnsi="Arial" w:cs="Arial"/>
                <w:sz w:val="20"/>
              </w:rPr>
              <w:br/>
            </w:r>
            <w:hyperlink r:id="rId14" w:anchor="40:15.0.1.1.1.12.226.8.46" w:history="1">
              <w:r w:rsidRPr="003B686D">
                <w:rPr>
                  <w:rFonts w:ascii="Arial" w:eastAsia="Times New Roman" w:hAnsi="Arial" w:cs="Arial"/>
                  <w:color w:val="0000FF"/>
                  <w:sz w:val="17"/>
                </w:rPr>
                <w:t xml:space="preserve">Table 1 to Subpart YYYYY of Part 63—Applicability of General Provisions to Subpart YYYYY </w:t>
              </w:r>
            </w:hyperlink>
          </w:p>
          <w:p w:rsidR="003B686D" w:rsidRPr="003B686D" w:rsidRDefault="003B686D" w:rsidP="003B686D">
            <w:pPr>
              <w:spacing w:after="0" w:line="240" w:lineRule="auto"/>
              <w:jc w:val="center"/>
              <w:rPr>
                <w:rFonts w:ascii="Arial" w:eastAsia="Times New Roman" w:hAnsi="Arial" w:cs="Arial"/>
                <w:sz w:val="20"/>
              </w:rPr>
            </w:pPr>
            <w:r w:rsidRPr="003B686D">
              <w:rPr>
                <w:rFonts w:ascii="Arial" w:eastAsia="Times New Roman" w:hAnsi="Arial" w:cs="Arial"/>
                <w:sz w:val="20"/>
              </w:rPr>
              <w:pict>
                <v:rect id="_x0000_i1067" style="width:0;height:1.5pt" o:hralign="center" o:hrstd="t" o:hr="t" fillcolor="#aca899" stroked="f"/>
              </w:pict>
            </w:r>
          </w:p>
          <w:p w:rsidR="003B686D" w:rsidRPr="003B686D" w:rsidRDefault="003B686D" w:rsidP="003B686D">
            <w:pPr>
              <w:spacing w:before="200" w:after="100" w:afterAutospacing="1" w:line="240" w:lineRule="auto"/>
              <w:rPr>
                <w:rFonts w:ascii="Arial" w:eastAsia="Times New Roman" w:hAnsi="Arial" w:cs="Arial"/>
                <w:sz w:val="18"/>
                <w:szCs w:val="18"/>
              </w:rPr>
            </w:pPr>
            <w:r w:rsidRPr="003B686D">
              <w:rPr>
                <w:rFonts w:ascii="Arial" w:eastAsia="Times New Roman" w:hAnsi="Arial" w:cs="Arial"/>
                <w:smallCaps/>
                <w:sz w:val="18"/>
                <w:szCs w:val="18"/>
              </w:rPr>
              <w:t>Source:</w:t>
            </w:r>
            <w:r w:rsidRPr="003B686D">
              <w:rPr>
                <w:rFonts w:ascii="Arial" w:eastAsia="Times New Roman" w:hAnsi="Arial" w:cs="Arial"/>
                <w:sz w:val="18"/>
                <w:szCs w:val="18"/>
              </w:rPr>
              <w:t xml:space="preserve"> 72 FR 74111, Dec. 28, 2007, unless otherwise noted. </w:t>
            </w:r>
          </w:p>
          <w:p w:rsidR="003B686D" w:rsidRPr="003B686D" w:rsidRDefault="003B686D" w:rsidP="003B686D">
            <w:pPr>
              <w:spacing w:before="200" w:after="100" w:line="240" w:lineRule="auto"/>
              <w:outlineLvl w:val="1"/>
              <w:rPr>
                <w:rFonts w:ascii="Arial" w:eastAsia="Times New Roman" w:hAnsi="Arial" w:cs="Arial"/>
                <w:b/>
                <w:bCs/>
                <w:smallCaps/>
                <w:sz w:val="27"/>
                <w:szCs w:val="27"/>
              </w:rPr>
            </w:pPr>
            <w:bookmarkStart w:id="0" w:name="40:15.0.1.1.1.12.223"/>
            <w:bookmarkEnd w:id="0"/>
            <w:r w:rsidRPr="003B686D">
              <w:rPr>
                <w:rFonts w:ascii="Arial" w:eastAsia="Times New Roman" w:hAnsi="Arial" w:cs="Arial"/>
                <w:b/>
                <w:bCs/>
                <w:smallCaps/>
                <w:sz w:val="27"/>
                <w:szCs w:val="27"/>
              </w:rPr>
              <w:t>Applicability and Compliance Dates</w:t>
            </w:r>
          </w:p>
          <w:p w:rsidR="003B686D" w:rsidRPr="003B686D" w:rsidRDefault="003B686D" w:rsidP="003B686D">
            <w:pPr>
              <w:spacing w:before="200" w:after="100" w:line="240" w:lineRule="auto"/>
              <w:outlineLvl w:val="1"/>
              <w:rPr>
                <w:rFonts w:ascii="Arial" w:eastAsia="Times New Roman" w:hAnsi="Arial" w:cs="Arial"/>
                <w:b/>
                <w:bCs/>
                <w:sz w:val="20"/>
              </w:rPr>
            </w:pPr>
            <w:bookmarkStart w:id="1" w:name="40:15.0.1.1.1.12.223.1"/>
            <w:bookmarkEnd w:id="1"/>
            <w:r w:rsidRPr="003B686D">
              <w:rPr>
                <w:rFonts w:ascii="Arial" w:eastAsia="Times New Roman" w:hAnsi="Arial" w:cs="Arial"/>
                <w:b/>
                <w:bCs/>
                <w:sz w:val="20"/>
              </w:rPr>
              <w:t>§63.10680   Am I subject to this subpart?</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(a) You are subject to this subpart if you own or operate an electric arc furnace (EAF) steelmaking facility that is an area source of hazardous air pollutant (HAP) emissions.</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(b) This subpart applies to each new or existing affected source. The affected source is each EAF steelmaking facility.</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 xml:space="preserve">(1) An affected source </w:t>
            </w:r>
            <w:proofErr w:type="gramStart"/>
            <w:r w:rsidRPr="003B686D">
              <w:rPr>
                <w:rFonts w:ascii="Arial" w:eastAsia="Times New Roman" w:hAnsi="Arial" w:cs="Arial"/>
                <w:sz w:val="20"/>
              </w:rPr>
              <w:t>is existing</w:t>
            </w:r>
            <w:proofErr w:type="gramEnd"/>
            <w:r w:rsidRPr="003B686D">
              <w:rPr>
                <w:rFonts w:ascii="Arial" w:eastAsia="Times New Roman" w:hAnsi="Arial" w:cs="Arial"/>
                <w:sz w:val="20"/>
              </w:rPr>
              <w:t xml:space="preserve"> if you commenced construction or reconstruction of the affected source on or before September 20, 2007.</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(2) An affected source is new if you commenced construction or reconstruction of the affected source after September 20, 2007.</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(c) This subpart does not apply to research and development facilities, as defined in section 112(c</w:t>
            </w:r>
            <w:proofErr w:type="gramStart"/>
            <w:r w:rsidRPr="003B686D">
              <w:rPr>
                <w:rFonts w:ascii="Arial" w:eastAsia="Times New Roman" w:hAnsi="Arial" w:cs="Arial"/>
                <w:sz w:val="20"/>
              </w:rPr>
              <w:t>)(</w:t>
            </w:r>
            <w:proofErr w:type="gramEnd"/>
            <w:r w:rsidRPr="003B686D">
              <w:rPr>
                <w:rFonts w:ascii="Arial" w:eastAsia="Times New Roman" w:hAnsi="Arial" w:cs="Arial"/>
                <w:sz w:val="20"/>
              </w:rPr>
              <w:t>7) of the Clean Air Act (CAA).</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 xml:space="preserve">(d) If you own or operate an area source subject to this subpart, you must have or obtain a permit under 40 CFR part 70 or 40 CFR part 71. </w:t>
            </w:r>
          </w:p>
          <w:p w:rsidR="003B686D" w:rsidRPr="003B686D" w:rsidRDefault="003B686D" w:rsidP="003B686D">
            <w:pPr>
              <w:spacing w:before="200" w:after="100" w:afterAutospacing="1" w:line="240" w:lineRule="auto"/>
              <w:rPr>
                <w:rFonts w:ascii="Arial" w:eastAsia="Times New Roman" w:hAnsi="Arial" w:cs="Arial"/>
                <w:sz w:val="20"/>
              </w:rPr>
            </w:pPr>
            <w:hyperlink r:id="rId15" w:anchor="_top" w:history="1">
              <w:r>
                <w:rPr>
                  <w:rFonts w:ascii="Arial" w:eastAsia="Times New Roman" w:hAnsi="Arial" w:cs="Arial"/>
                  <w:noProof/>
                  <w:color w:val="0000FF"/>
                  <w:sz w:val="17"/>
                  <w:szCs w:val="17"/>
                </w:rPr>
                <w:drawing>
                  <wp:inline distT="0" distB="0" distL="0" distR="0">
                    <wp:extent cx="152400" cy="152400"/>
                    <wp:effectExtent l="0" t="0" r="0" b="0"/>
                    <wp:docPr id="5" name="Picture 5" descr="return arrow">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16"/>
                            </pic:cNvPr>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B686D">
                <w:rPr>
                  <w:rFonts w:ascii="Arial" w:eastAsia="Times New Roman" w:hAnsi="Arial" w:cs="Arial"/>
                  <w:color w:val="0000FF"/>
                  <w:sz w:val="17"/>
                </w:rPr>
                <w:t>Back to Top</w:t>
              </w:r>
            </w:hyperlink>
          </w:p>
          <w:p w:rsidR="003B686D" w:rsidRPr="003B686D" w:rsidRDefault="003B686D" w:rsidP="003B686D">
            <w:pPr>
              <w:spacing w:before="200" w:after="100" w:line="240" w:lineRule="auto"/>
              <w:outlineLvl w:val="1"/>
              <w:rPr>
                <w:rFonts w:ascii="Arial" w:eastAsia="Times New Roman" w:hAnsi="Arial" w:cs="Arial"/>
                <w:b/>
                <w:bCs/>
                <w:sz w:val="20"/>
              </w:rPr>
            </w:pPr>
            <w:bookmarkStart w:id="2" w:name="40:15.0.1.1.1.12.223.2"/>
            <w:bookmarkEnd w:id="2"/>
            <w:r w:rsidRPr="003B686D">
              <w:rPr>
                <w:rFonts w:ascii="Arial" w:eastAsia="Times New Roman" w:hAnsi="Arial" w:cs="Arial"/>
                <w:b/>
                <w:bCs/>
                <w:sz w:val="20"/>
              </w:rPr>
              <w:t>§63.10681   What are my compliance dates?</w:t>
            </w:r>
          </w:p>
          <w:p w:rsidR="003B686D" w:rsidRPr="003B686D" w:rsidRDefault="003B686D" w:rsidP="003B686D">
            <w:pPr>
              <w:spacing w:before="100" w:beforeAutospacing="1" w:after="100" w:afterAutospacing="1" w:line="240" w:lineRule="auto"/>
              <w:jc w:val="center"/>
              <w:rPr>
                <w:rFonts w:ascii="Arial" w:eastAsia="Times New Roman" w:hAnsi="Arial" w:cs="Arial"/>
                <w:sz w:val="20"/>
              </w:rPr>
            </w:pPr>
            <w:r w:rsidRPr="003B686D">
              <w:rPr>
                <w:rFonts w:ascii="Arial" w:eastAsia="Times New Roman" w:hAnsi="Arial" w:cs="Arial"/>
                <w:sz w:val="20"/>
              </w:rPr>
              <w:t>(a) Except as provided in paragraph (b) of this section, if you own or operate an existing affected source, you must achieve compliance with the applicable provisions of this su</w:t>
            </w:r>
            <w:r>
              <w:rPr>
                <w:rFonts w:ascii="Arial" w:eastAsia="Times New Roman" w:hAnsi="Arial" w:cs="Arial"/>
                <w:sz w:val="20"/>
              </w:rPr>
              <w:t>bpart by no later than June 30,</w:t>
            </w:r>
            <w:r w:rsidRPr="003B686D">
              <w:rPr>
                <w:rFonts w:ascii="Arial" w:eastAsia="Times New Roman" w:hAnsi="Arial" w:cs="Arial"/>
                <w:sz w:val="20"/>
              </w:rPr>
              <w:t>2008.</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lastRenderedPageBreak/>
              <w:t xml:space="preserve">(b) If you own or operate an existing affected source, you must achieve compliance with opacity limit in </w:t>
            </w:r>
            <w:r>
              <w:rPr>
                <w:rFonts w:ascii="Arial" w:eastAsia="Times New Roman" w:hAnsi="Arial" w:cs="Arial"/>
                <w:sz w:val="20"/>
              </w:rPr>
              <w:t xml:space="preserve">  </w:t>
            </w:r>
            <w:r w:rsidRPr="003B686D">
              <w:rPr>
                <w:rFonts w:ascii="Arial" w:eastAsia="Times New Roman" w:hAnsi="Arial" w:cs="Arial"/>
                <w:sz w:val="20"/>
              </w:rPr>
              <w:t>§63.10686(b)(2) or (c)(2) by no later than December 28, 2010 if you demonstrate to the satisfaction of the permitting authority that additional time is needed to install or modify emission control equipment.</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(c) If you start up a new affected source on or before December 28, 2007, you must achieve compliance with the applicable provisions of this subpart by no later than December 28, 2007.</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 xml:space="preserve">(d) If you start up a new affected source after December 28, 2007, you must achieve compliance with the applicable provisions of this subpart upon startup of your affected source. </w:t>
            </w:r>
          </w:p>
          <w:p w:rsidR="003B686D" w:rsidRPr="003B686D" w:rsidRDefault="003B686D" w:rsidP="003B686D">
            <w:pPr>
              <w:spacing w:before="200" w:after="100" w:afterAutospacing="1" w:line="240" w:lineRule="auto"/>
              <w:rPr>
                <w:rFonts w:ascii="Arial" w:eastAsia="Times New Roman" w:hAnsi="Arial" w:cs="Arial"/>
                <w:sz w:val="20"/>
              </w:rPr>
            </w:pPr>
            <w:hyperlink r:id="rId18" w:anchor="_top" w:history="1">
              <w:r>
                <w:rPr>
                  <w:rFonts w:ascii="Arial" w:eastAsia="Times New Roman" w:hAnsi="Arial" w:cs="Arial"/>
                  <w:noProof/>
                  <w:color w:val="0000FF"/>
                  <w:sz w:val="17"/>
                  <w:szCs w:val="17"/>
                </w:rPr>
                <w:drawing>
                  <wp:inline distT="0" distB="0" distL="0" distR="0">
                    <wp:extent cx="152400" cy="152400"/>
                    <wp:effectExtent l="0" t="0" r="0" b="0"/>
                    <wp:docPr id="6" name="Picture 6" descr="return arrow">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16"/>
                            </pic:cNvPr>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B686D">
                <w:rPr>
                  <w:rFonts w:ascii="Arial" w:eastAsia="Times New Roman" w:hAnsi="Arial" w:cs="Arial"/>
                  <w:color w:val="0000FF"/>
                  <w:sz w:val="17"/>
                </w:rPr>
                <w:t>Back to Top</w:t>
              </w:r>
            </w:hyperlink>
          </w:p>
          <w:p w:rsidR="003B686D" w:rsidRPr="003B686D" w:rsidRDefault="003B686D" w:rsidP="003B686D">
            <w:pPr>
              <w:spacing w:before="200" w:after="100" w:line="240" w:lineRule="auto"/>
              <w:outlineLvl w:val="1"/>
              <w:rPr>
                <w:rFonts w:ascii="Arial" w:eastAsia="Times New Roman" w:hAnsi="Arial" w:cs="Arial"/>
                <w:b/>
                <w:bCs/>
                <w:smallCaps/>
                <w:sz w:val="27"/>
                <w:szCs w:val="27"/>
              </w:rPr>
            </w:pPr>
            <w:bookmarkStart w:id="3" w:name="40:15.0.1.1.1.12.224"/>
            <w:bookmarkEnd w:id="3"/>
            <w:r w:rsidRPr="003B686D">
              <w:rPr>
                <w:rFonts w:ascii="Arial" w:eastAsia="Times New Roman" w:hAnsi="Arial" w:cs="Arial"/>
                <w:b/>
                <w:bCs/>
                <w:smallCaps/>
                <w:sz w:val="27"/>
                <w:szCs w:val="27"/>
              </w:rPr>
              <w:t>Standards and Compliance Requirements</w:t>
            </w:r>
          </w:p>
          <w:p w:rsidR="003B686D" w:rsidRPr="003B686D" w:rsidRDefault="003B686D" w:rsidP="003B686D">
            <w:pPr>
              <w:spacing w:before="200" w:after="100" w:afterAutospacing="1" w:line="240" w:lineRule="auto"/>
              <w:rPr>
                <w:rFonts w:ascii="Arial" w:eastAsia="Times New Roman" w:hAnsi="Arial" w:cs="Arial"/>
                <w:sz w:val="20"/>
              </w:rPr>
            </w:pPr>
            <w:hyperlink r:id="rId19" w:anchor="_top" w:history="1">
              <w:r>
                <w:rPr>
                  <w:rFonts w:ascii="Arial" w:eastAsia="Times New Roman" w:hAnsi="Arial" w:cs="Arial"/>
                  <w:noProof/>
                  <w:color w:val="0000FF"/>
                  <w:sz w:val="17"/>
                  <w:szCs w:val="17"/>
                </w:rPr>
                <w:drawing>
                  <wp:inline distT="0" distB="0" distL="0" distR="0">
                    <wp:extent cx="152400" cy="152400"/>
                    <wp:effectExtent l="0" t="0" r="0" b="0"/>
                    <wp:docPr id="7" name="Picture 7" descr="return arrow">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16"/>
                            </pic:cNvPr>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B686D">
                <w:rPr>
                  <w:rFonts w:ascii="Arial" w:eastAsia="Times New Roman" w:hAnsi="Arial" w:cs="Arial"/>
                  <w:color w:val="0000FF"/>
                  <w:sz w:val="17"/>
                </w:rPr>
                <w:t>Back to Top</w:t>
              </w:r>
            </w:hyperlink>
          </w:p>
          <w:p w:rsidR="003B686D" w:rsidRPr="003B686D" w:rsidRDefault="003B686D" w:rsidP="0085717E">
            <w:pPr>
              <w:spacing w:before="200" w:after="100" w:line="240" w:lineRule="auto"/>
              <w:outlineLvl w:val="1"/>
              <w:rPr>
                <w:rFonts w:ascii="Arial" w:eastAsia="Times New Roman" w:hAnsi="Arial" w:cs="Arial"/>
                <w:b/>
                <w:bCs/>
                <w:sz w:val="20"/>
              </w:rPr>
            </w:pPr>
            <w:bookmarkStart w:id="4" w:name="40:15.0.1.1.1.12.224.3"/>
            <w:bookmarkEnd w:id="4"/>
            <w:r w:rsidRPr="003B686D">
              <w:rPr>
                <w:rFonts w:ascii="Arial" w:eastAsia="Times New Roman" w:hAnsi="Arial" w:cs="Arial"/>
                <w:b/>
                <w:bCs/>
                <w:sz w:val="20"/>
              </w:rPr>
              <w:t>§63.10685   What are the requirements for the control of contaminants from scrap?</w:t>
            </w:r>
          </w:p>
          <w:p w:rsidR="003B686D" w:rsidRPr="003B686D" w:rsidRDefault="003B686D" w:rsidP="0085717E">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 xml:space="preserve">(a) </w:t>
            </w:r>
            <w:r w:rsidRPr="003B686D">
              <w:rPr>
                <w:rFonts w:ascii="Arial" w:eastAsia="Times New Roman" w:hAnsi="Arial" w:cs="Arial"/>
                <w:i/>
                <w:iCs/>
                <w:sz w:val="20"/>
              </w:rPr>
              <w:t>Chlorinated plastics, lead, and free organic liquids</w:t>
            </w:r>
            <w:r w:rsidRPr="003B686D">
              <w:rPr>
                <w:rFonts w:ascii="Arial" w:eastAsia="Times New Roman" w:hAnsi="Arial" w:cs="Arial"/>
                <w:sz w:val="20"/>
              </w:rPr>
              <w:t>. For metallic scrap utilized in the EAF at your facility, you must comply with the requirements in either paragraph (a</w:t>
            </w:r>
            <w:proofErr w:type="gramStart"/>
            <w:r w:rsidRPr="003B686D">
              <w:rPr>
                <w:rFonts w:ascii="Arial" w:eastAsia="Times New Roman" w:hAnsi="Arial" w:cs="Arial"/>
                <w:sz w:val="20"/>
              </w:rPr>
              <w:t>)(</w:t>
            </w:r>
            <w:proofErr w:type="gramEnd"/>
            <w:r w:rsidRPr="003B686D">
              <w:rPr>
                <w:rFonts w:ascii="Arial" w:eastAsia="Times New Roman" w:hAnsi="Arial" w:cs="Arial"/>
                <w:sz w:val="20"/>
              </w:rPr>
              <w:t>1) or (2) of this section. You may have certain scrap at your facility subject to paragraph (a</w:t>
            </w:r>
            <w:proofErr w:type="gramStart"/>
            <w:r w:rsidRPr="003B686D">
              <w:rPr>
                <w:rFonts w:ascii="Arial" w:eastAsia="Times New Roman" w:hAnsi="Arial" w:cs="Arial"/>
                <w:sz w:val="20"/>
              </w:rPr>
              <w:t>)(</w:t>
            </w:r>
            <w:proofErr w:type="gramEnd"/>
            <w:r w:rsidRPr="003B686D">
              <w:rPr>
                <w:rFonts w:ascii="Arial" w:eastAsia="Times New Roman" w:hAnsi="Arial" w:cs="Arial"/>
                <w:sz w:val="20"/>
              </w:rPr>
              <w:t>1) of this section and other scrap subject to paragraph (a)(2) of this section provided the scrap remains segregated until charge make-up.</w:t>
            </w:r>
          </w:p>
          <w:p w:rsidR="003B686D" w:rsidRPr="003B686D" w:rsidRDefault="003B686D" w:rsidP="0085717E">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 xml:space="preserve">(1) </w:t>
            </w:r>
            <w:r w:rsidRPr="003B686D">
              <w:rPr>
                <w:rFonts w:ascii="Arial" w:eastAsia="Times New Roman" w:hAnsi="Arial" w:cs="Arial"/>
                <w:i/>
                <w:iCs/>
                <w:sz w:val="20"/>
              </w:rPr>
              <w:t>Pollution prevention plan</w:t>
            </w:r>
            <w:r w:rsidRPr="003B686D">
              <w:rPr>
                <w:rFonts w:ascii="Arial" w:eastAsia="Times New Roman" w:hAnsi="Arial" w:cs="Arial"/>
                <w:sz w:val="20"/>
              </w:rPr>
              <w:t>. For the production of steel other than leaded steel, you must prepare and implement a pollution prevention plan for metallic scrap selection and inspection to minimize the amount of chlorinated plastics, lead, and free organic liquids that is charged to the furnace. For the production of leaded steel, you must prepare and implement a pollution prevention plan for scrap selection and inspection to minimize the amount of chlorinated plastics and free organic liquids in the scrap that is charged to the furnace. You must submit the scrap pollution prevention plan to the permitting authority for approval. You must operate according to the plan as submitted during the review and approval process, operate according to the approved plan at all times after approval, and address any deficiency identified by the permitting authority within 60 days following disapproval of a plan. You may request approval to revise the plan and may operate according to the revised plan unless and until the revision is disapproved by the permitting authority. You must keep a copy of the plan onsite, and you must provide training on the plan's requirements to all plant personnel with materials acquisition or inspection duties. Each plan must include the information in paragraphs (a)(1)(i) through (iii) of this section:</w:t>
            </w:r>
          </w:p>
          <w:p w:rsidR="003B686D" w:rsidRPr="003B686D" w:rsidRDefault="003B686D" w:rsidP="0085717E">
            <w:pPr>
              <w:spacing w:before="100" w:beforeAutospacing="1" w:after="100" w:afterAutospacing="1" w:line="240" w:lineRule="auto"/>
              <w:ind w:firstLine="480"/>
              <w:rPr>
                <w:rFonts w:ascii="Arial" w:eastAsia="Times New Roman" w:hAnsi="Arial" w:cs="Arial"/>
                <w:sz w:val="20"/>
              </w:rPr>
            </w:pPr>
            <w:r w:rsidRPr="003B686D">
              <w:rPr>
                <w:rFonts w:ascii="Arial" w:eastAsia="Times New Roman" w:hAnsi="Arial" w:cs="Arial"/>
                <w:sz w:val="20"/>
              </w:rPr>
              <w:t>(i) Specifications that scrap materials must be depleted (to the extent practicable) of undrained used oil filters, chlorinated plastics, and free organic liquids at the time of charging to the furnace.</w:t>
            </w:r>
          </w:p>
          <w:p w:rsidR="003B686D" w:rsidRPr="003B686D" w:rsidRDefault="003B686D" w:rsidP="0085717E">
            <w:pPr>
              <w:spacing w:before="100" w:beforeAutospacing="1" w:after="100" w:afterAutospacing="1" w:line="240" w:lineRule="auto"/>
              <w:ind w:firstLine="480"/>
              <w:rPr>
                <w:rFonts w:ascii="Arial" w:eastAsia="Times New Roman" w:hAnsi="Arial" w:cs="Arial"/>
                <w:sz w:val="20"/>
              </w:rPr>
            </w:pPr>
            <w:r w:rsidRPr="003B686D">
              <w:rPr>
                <w:rFonts w:ascii="Arial" w:eastAsia="Times New Roman" w:hAnsi="Arial" w:cs="Arial"/>
                <w:sz w:val="20"/>
              </w:rPr>
              <w:t>(ii) A requirement in your scrap specifications for removal (to the extent practicable) of lead-containing components (such as batteries, battery cables, and wheel weights) from the scrap, except for scrap used to produce leaded steel.</w:t>
            </w:r>
          </w:p>
          <w:p w:rsidR="003B686D" w:rsidRPr="003B686D" w:rsidRDefault="003B686D" w:rsidP="0085717E">
            <w:pPr>
              <w:spacing w:before="100" w:beforeAutospacing="1" w:after="100" w:afterAutospacing="1" w:line="240" w:lineRule="auto"/>
              <w:ind w:firstLine="480"/>
              <w:rPr>
                <w:rFonts w:ascii="Arial" w:eastAsia="Times New Roman" w:hAnsi="Arial" w:cs="Arial"/>
                <w:sz w:val="20"/>
              </w:rPr>
            </w:pPr>
            <w:r w:rsidRPr="003B686D">
              <w:rPr>
                <w:rFonts w:ascii="Arial" w:eastAsia="Times New Roman" w:hAnsi="Arial" w:cs="Arial"/>
                <w:sz w:val="20"/>
              </w:rPr>
              <w:t>(iii) Procedures for determining if the requirements and specifications in paragraph (a</w:t>
            </w:r>
            <w:proofErr w:type="gramStart"/>
            <w:r w:rsidRPr="003B686D">
              <w:rPr>
                <w:rFonts w:ascii="Arial" w:eastAsia="Times New Roman" w:hAnsi="Arial" w:cs="Arial"/>
                <w:sz w:val="20"/>
              </w:rPr>
              <w:t>)(</w:t>
            </w:r>
            <w:proofErr w:type="gramEnd"/>
            <w:r w:rsidRPr="003B686D">
              <w:rPr>
                <w:rFonts w:ascii="Arial" w:eastAsia="Times New Roman" w:hAnsi="Arial" w:cs="Arial"/>
                <w:sz w:val="20"/>
              </w:rPr>
              <w:t>1) of this section are met (such as visual inspection or periodic audits of scrap providers) and procedures for taking corrective actions with vendors whose shipments are not within specifications.</w:t>
            </w:r>
          </w:p>
          <w:p w:rsidR="003B686D" w:rsidRPr="003B686D" w:rsidRDefault="003B686D" w:rsidP="0085717E">
            <w:pPr>
              <w:spacing w:before="100" w:beforeAutospacing="1" w:after="100" w:afterAutospacing="1" w:line="240" w:lineRule="auto"/>
              <w:ind w:firstLine="480"/>
              <w:rPr>
                <w:rFonts w:ascii="Arial" w:eastAsia="Times New Roman" w:hAnsi="Arial" w:cs="Arial"/>
                <w:sz w:val="20"/>
              </w:rPr>
            </w:pPr>
            <w:r w:rsidRPr="003B686D">
              <w:rPr>
                <w:rFonts w:ascii="Arial" w:eastAsia="Times New Roman" w:hAnsi="Arial" w:cs="Arial"/>
                <w:sz w:val="20"/>
              </w:rPr>
              <w:t>(iv) The requirements of paragraph (a</w:t>
            </w:r>
            <w:proofErr w:type="gramStart"/>
            <w:r w:rsidRPr="003B686D">
              <w:rPr>
                <w:rFonts w:ascii="Arial" w:eastAsia="Times New Roman" w:hAnsi="Arial" w:cs="Arial"/>
                <w:sz w:val="20"/>
              </w:rPr>
              <w:t>)(</w:t>
            </w:r>
            <w:proofErr w:type="gramEnd"/>
            <w:r w:rsidRPr="003B686D">
              <w:rPr>
                <w:rFonts w:ascii="Arial" w:eastAsia="Times New Roman" w:hAnsi="Arial" w:cs="Arial"/>
                <w:sz w:val="20"/>
              </w:rPr>
              <w:t>1) of this section do not apply to the routine recycling of baghouse bags or other internal process or maintenance materials in the furnace. These exempted materials must be identified in the pollution prevention plan.</w:t>
            </w:r>
          </w:p>
          <w:p w:rsidR="003B686D" w:rsidRPr="003B686D" w:rsidRDefault="003B686D" w:rsidP="0085717E">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lastRenderedPageBreak/>
              <w:t xml:space="preserve">(2) </w:t>
            </w:r>
            <w:r w:rsidRPr="003B686D">
              <w:rPr>
                <w:rFonts w:ascii="Arial" w:eastAsia="Times New Roman" w:hAnsi="Arial" w:cs="Arial"/>
                <w:i/>
                <w:iCs/>
                <w:sz w:val="20"/>
              </w:rPr>
              <w:t>Restricted metallic scrap</w:t>
            </w:r>
            <w:r w:rsidRPr="003B686D">
              <w:rPr>
                <w:rFonts w:ascii="Arial" w:eastAsia="Times New Roman" w:hAnsi="Arial" w:cs="Arial"/>
                <w:sz w:val="20"/>
              </w:rPr>
              <w:t>. For the production of steel other than leaded steel, you must not charge to a furnace metallic scrap that contains scrap from motor vehicle bodies, engine blocks, oil filters, oily turnings, machine shop borings, transformers or capacitors containing polychlorinated biphenyls, lead-containing components, chlorinated plastics, or free organic liquids. For the production of leaded steel, you must not charge to the furnace metallic scrap that contains scrap from motor vehicle bodies, engine blocks, oil filters, oily turnings, machine shop borings, transformers or capacitors containing polychlorinated biphenyls, chlorinated plastics, or free organic liquids. This restriction does not apply to any post-consumer engine blocks, post-consumer oil filters, or oily turnings that are processed or cleaned to the extent practicable such that the materials do not include lead components, chlorinated plastics, or free organic liquids. This restriction does not apply to motor vehicle scrap that is charged to recover the chromium or nickel content if you meet the requirements in paragraph (b</w:t>
            </w:r>
            <w:proofErr w:type="gramStart"/>
            <w:r w:rsidRPr="003B686D">
              <w:rPr>
                <w:rFonts w:ascii="Arial" w:eastAsia="Times New Roman" w:hAnsi="Arial" w:cs="Arial"/>
                <w:sz w:val="20"/>
              </w:rPr>
              <w:t>)(</w:t>
            </w:r>
            <w:proofErr w:type="gramEnd"/>
            <w:r w:rsidRPr="003B686D">
              <w:rPr>
                <w:rFonts w:ascii="Arial" w:eastAsia="Times New Roman" w:hAnsi="Arial" w:cs="Arial"/>
                <w:sz w:val="20"/>
              </w:rPr>
              <w:t>3) of this section.</w:t>
            </w:r>
          </w:p>
          <w:p w:rsidR="003B686D" w:rsidRPr="003B686D" w:rsidRDefault="003B686D" w:rsidP="00C9421A">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 xml:space="preserve">(b) </w:t>
            </w:r>
            <w:r w:rsidRPr="003B686D">
              <w:rPr>
                <w:rFonts w:ascii="Arial" w:eastAsia="Times New Roman" w:hAnsi="Arial" w:cs="Arial"/>
                <w:i/>
                <w:iCs/>
                <w:sz w:val="20"/>
              </w:rPr>
              <w:t>Mercury requirements</w:t>
            </w:r>
            <w:r w:rsidRPr="003B686D">
              <w:rPr>
                <w:rFonts w:ascii="Arial" w:eastAsia="Times New Roman" w:hAnsi="Arial" w:cs="Arial"/>
                <w:sz w:val="20"/>
              </w:rPr>
              <w:t>. For scrap containing motor vehicle scrap, you must procure the scrap pursuant to one of the compliance options in paragraphs (b</w:t>
            </w:r>
            <w:proofErr w:type="gramStart"/>
            <w:r w:rsidRPr="003B686D">
              <w:rPr>
                <w:rFonts w:ascii="Arial" w:eastAsia="Times New Roman" w:hAnsi="Arial" w:cs="Arial"/>
                <w:sz w:val="20"/>
              </w:rPr>
              <w:t>)(</w:t>
            </w:r>
            <w:proofErr w:type="gramEnd"/>
            <w:r w:rsidRPr="003B686D">
              <w:rPr>
                <w:rFonts w:ascii="Arial" w:eastAsia="Times New Roman" w:hAnsi="Arial" w:cs="Arial"/>
                <w:sz w:val="20"/>
              </w:rPr>
              <w:t>1), (2), or (3) of this section for each scrap provider, contract, or shipment. For scrap that does not contain motor vehicle scrap, you must procure the scrap pursuant to the requirements in paragraph (b</w:t>
            </w:r>
            <w:proofErr w:type="gramStart"/>
            <w:r w:rsidRPr="003B686D">
              <w:rPr>
                <w:rFonts w:ascii="Arial" w:eastAsia="Times New Roman" w:hAnsi="Arial" w:cs="Arial"/>
                <w:sz w:val="20"/>
              </w:rPr>
              <w:t>)(</w:t>
            </w:r>
            <w:proofErr w:type="gramEnd"/>
            <w:r w:rsidRPr="003B686D">
              <w:rPr>
                <w:rFonts w:ascii="Arial" w:eastAsia="Times New Roman" w:hAnsi="Arial" w:cs="Arial"/>
                <w:sz w:val="20"/>
              </w:rPr>
              <w:t>4) of this section for each scrap provider, contract, or shipment. You may have one scrap provider, contract, or shipment subject to one compliance provision and others subject to another compliance provision.</w:t>
            </w:r>
          </w:p>
          <w:p w:rsidR="003B686D" w:rsidRPr="003B686D" w:rsidRDefault="003B686D" w:rsidP="00C9421A">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 xml:space="preserve">(1) </w:t>
            </w:r>
            <w:r w:rsidRPr="003B686D">
              <w:rPr>
                <w:rFonts w:ascii="Arial" w:eastAsia="Times New Roman" w:hAnsi="Arial" w:cs="Arial"/>
                <w:i/>
                <w:iCs/>
                <w:sz w:val="20"/>
              </w:rPr>
              <w:t>Site-specific plan for mercury switches</w:t>
            </w:r>
            <w:r w:rsidRPr="003B686D">
              <w:rPr>
                <w:rFonts w:ascii="Arial" w:eastAsia="Times New Roman" w:hAnsi="Arial" w:cs="Arial"/>
                <w:sz w:val="20"/>
              </w:rPr>
              <w:t>. You must comply with the requirements in paragraphs (b</w:t>
            </w:r>
            <w:proofErr w:type="gramStart"/>
            <w:r w:rsidRPr="003B686D">
              <w:rPr>
                <w:rFonts w:ascii="Arial" w:eastAsia="Times New Roman" w:hAnsi="Arial" w:cs="Arial"/>
                <w:sz w:val="20"/>
              </w:rPr>
              <w:t>)(</w:t>
            </w:r>
            <w:proofErr w:type="gramEnd"/>
            <w:r w:rsidRPr="003B686D">
              <w:rPr>
                <w:rFonts w:ascii="Arial" w:eastAsia="Times New Roman" w:hAnsi="Arial" w:cs="Arial"/>
                <w:sz w:val="20"/>
              </w:rPr>
              <w:t>1)(i) through (v) of this section.</w:t>
            </w:r>
          </w:p>
          <w:p w:rsidR="003B686D" w:rsidRPr="003B686D" w:rsidRDefault="003B686D" w:rsidP="00C9421A">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(i) You must include a requirement in your scrap specifications for removal of mercury switches from vehicle bodies used to make the scrap.</w:t>
            </w:r>
          </w:p>
          <w:p w:rsidR="003B686D" w:rsidRPr="003B686D" w:rsidRDefault="003B686D" w:rsidP="00C9421A">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(ii) You must prepare and operate according to a plan demonstrating how your facility will implement the scrap specification in paragraph (b</w:t>
            </w:r>
            <w:proofErr w:type="gramStart"/>
            <w:r w:rsidRPr="003B686D">
              <w:rPr>
                <w:rFonts w:ascii="Arial" w:eastAsia="Times New Roman" w:hAnsi="Arial" w:cs="Arial"/>
                <w:sz w:val="20"/>
              </w:rPr>
              <w:t>)(</w:t>
            </w:r>
            <w:proofErr w:type="gramEnd"/>
            <w:r w:rsidRPr="003B686D">
              <w:rPr>
                <w:rFonts w:ascii="Arial" w:eastAsia="Times New Roman" w:hAnsi="Arial" w:cs="Arial"/>
                <w:sz w:val="20"/>
              </w:rPr>
              <w:t>1)(i) of this section for removal of mercury switches. You must submit the plan to the permitting authority for approval. You must operate according to this plan as submitted during the review and approval process, operate according to the approved plan at all times after approval, and address any deficiency identified by the permitting authority within 60 days following disapproval of a plan. You may request approval to revise the plan and may operate according to the revised plan unless and until the revision is disapproved by the permitting authority. The permitting authority may change the approval status of the plan upon 90-days written notice based upon the semiannual compliance report or other information. The plan must include:</w:t>
            </w:r>
          </w:p>
          <w:p w:rsidR="003B686D" w:rsidRPr="003B686D" w:rsidRDefault="003B686D" w:rsidP="00C9421A">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(A) A means of communicating to scrap purchasers and scrap providers the need to obtain or provide motor vehicle scrap from which mercury switches have been removed and the need to ensure the proper management of the mercury switches removed from that scrap as required under the rules implementing subtitle C of the Resource Conservation and Recovery Act (RCRA) (40 CFR parts 261 through 265 and 268). The plan must include documentation of direction to appropriate staff to communicate to suppliers throughout the scrap supply chain the need to promote the removal of mercury switches from end-of-life vehicles. Upon the request of the permitting authority, you must provide examples of materials that are used for outreach to suppliers, such as letters, contract language, policies for purchasing agents, and scrap inspection protocols;</w:t>
            </w:r>
          </w:p>
          <w:p w:rsidR="003B686D" w:rsidRPr="003B686D" w:rsidRDefault="003B686D" w:rsidP="00C9421A">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(B) Provisions for obtaining assurance from scrap providers that motor vehicle scrap provided to the facility meet the scrap specification;</w:t>
            </w:r>
          </w:p>
          <w:p w:rsidR="003B686D" w:rsidRPr="003B686D" w:rsidRDefault="003B686D" w:rsidP="00C9421A">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(C) Provisions for periodic inspections or other means of corroboration to ensure that scrap providers and dismantlers are implementing appropriate steps to minimize the presence of mercury switches in motor vehicle scrap and that the mercury switches removed are being properly managed, including the minimum frequency such means of corroboration will be implemented; and</w:t>
            </w:r>
          </w:p>
          <w:p w:rsidR="003B686D" w:rsidRPr="003B686D" w:rsidRDefault="003B686D" w:rsidP="00C9421A">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lastRenderedPageBreak/>
              <w:t>(D) Provisions for taking corrective actions (i.e., actions resulting in scrap providers removing a higher percentage of mercury switches or other mercury-containing components) if needed, based on the results of procedures implemented in paragraph (b)(1)(ii)(C) of this section).</w:t>
            </w:r>
          </w:p>
          <w:p w:rsidR="003B686D" w:rsidRPr="003B686D" w:rsidRDefault="003B686D" w:rsidP="00C9421A">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(iii) You must require each motor vehicle scrap provider to provide an estimate of the number of mercury switches removed from motor vehicle scrap sent to your facility during the previous year and the basis for the estimate. The permitting authority may request documentation or additional information at any time.</w:t>
            </w:r>
          </w:p>
          <w:p w:rsidR="003B686D" w:rsidRPr="003B686D" w:rsidRDefault="003B686D" w:rsidP="00C9421A">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(iv) You must establish a goal for each scrap provider to remove at least 80 percent of the mercury switches. Although a site-specific plan approved under paragraph (b</w:t>
            </w:r>
            <w:proofErr w:type="gramStart"/>
            <w:r w:rsidRPr="003B686D">
              <w:rPr>
                <w:rFonts w:ascii="Arial" w:eastAsia="Times New Roman" w:hAnsi="Arial" w:cs="Arial"/>
                <w:sz w:val="20"/>
              </w:rPr>
              <w:t>)(</w:t>
            </w:r>
            <w:proofErr w:type="gramEnd"/>
            <w:r w:rsidRPr="003B686D">
              <w:rPr>
                <w:rFonts w:ascii="Arial" w:eastAsia="Times New Roman" w:hAnsi="Arial" w:cs="Arial"/>
                <w:sz w:val="20"/>
              </w:rPr>
              <w:t>1) of this section may require only the removal of convenience light switch mechanisms, the permitting authority will credit all documented and verifiable mercury-containing components removed from motor vehicle scrap (such as sensors in anti-locking brake systems, security systems, active ride control, and other applications) when evaluating progress towards the 80 percent goal.</w:t>
            </w:r>
          </w:p>
          <w:p w:rsidR="003B686D" w:rsidRPr="003B686D" w:rsidRDefault="003B686D" w:rsidP="00C9421A">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(v) For each scrap provider, you must submit semiannual progress reports to the permitting authority that provide the number of mercury switches removed or the weight of mercury recovered from the switches, the estimated number of vehicles processed, an estimate of the percent of mercury switches removed, and certification that the removed mercury switches were recycled at RCRA-permitted facilities or otherwise properly managed pursuant to RCRA subtitle C regulations referenced in paragraph (b)(1)(ii)(A) of this section. This information can be submitted in aggregated form and does not have to be submitted for each scrap provider, contract, or shipment. The permitting authority may change the approval status of a site-specific plan following 90-days notice based on the progress reports or other information.</w:t>
            </w:r>
          </w:p>
          <w:p w:rsidR="003B686D" w:rsidRPr="003B686D" w:rsidRDefault="003B686D" w:rsidP="00C9421A">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 xml:space="preserve">(2) </w:t>
            </w:r>
            <w:r w:rsidRPr="003B686D">
              <w:rPr>
                <w:rFonts w:ascii="Arial" w:eastAsia="Times New Roman" w:hAnsi="Arial" w:cs="Arial"/>
                <w:i/>
                <w:iCs/>
                <w:sz w:val="20"/>
              </w:rPr>
              <w:t>Option for approved mercury programs.</w:t>
            </w:r>
            <w:r w:rsidRPr="003B686D">
              <w:rPr>
                <w:rFonts w:ascii="Arial" w:eastAsia="Times New Roman" w:hAnsi="Arial" w:cs="Arial"/>
                <w:sz w:val="20"/>
              </w:rPr>
              <w:t xml:space="preserve"> You must certify in your notification of compliance status that you participate in and purchase motor vehicle scrap only from scrap providers who participate in a program for removal of mercury switches that has been approved by the Administrator based on the criteria in paragraphs (b)(2)(i) through (iii) of this section. If you purchase motor vehicle scrap from a broker, you must certify that all scrap received from that broker was obtained from other scrap providers who participate in a program for the removal of mercury switches that has been approved by the Administrator based on the criteria in paragraphs (b)(2)(i) through (iii) of this section. The National Vehicle Mercury Switch Recovery Program and the Vehicle Switch Recovery Program mandated by Maine State law are EPA-approved programs under paragraph (b)(2) of this section unless and until the Administrator disapproves the program (in part or in whole) under paragraph (b)(2)(iii) of this section.</w:t>
            </w:r>
          </w:p>
          <w:p w:rsidR="003B686D" w:rsidRPr="003B686D" w:rsidRDefault="003B686D" w:rsidP="00C9421A">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(i) The program includes outreach that informs the dismantlers of the need for removal of mercury switches and provides training and guidance for removing mercury switches;</w:t>
            </w:r>
          </w:p>
          <w:p w:rsidR="003B686D" w:rsidRPr="003B686D" w:rsidRDefault="003B686D" w:rsidP="00C9421A">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(ii) The program has a goal to remove at least 80 percent of mercury switches from the motor vehicle scrap the scrap provider processes. Although a program approved under paragraph (b)(2) of this section may require only the removal of convenience light switch mechanisms, the Administrator will credit all documented and verifiable mercury-containing components removed from motor vehicle scrap (such as sensors in anti-locking brake systems, security systems, active ride control, and other applications) when evaluating progress towards the 80 percent goal; and</w:t>
            </w:r>
          </w:p>
          <w:p w:rsidR="003B686D" w:rsidRPr="003B686D" w:rsidRDefault="003B686D" w:rsidP="00C9421A">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 xml:space="preserve">(iii) The program sponsor agrees to submit progress reports to the Administrator no less frequently than once every year that provide the number of mercury switches removed or the weight of mercury recovered from the switches, the estimated number of vehicles processed, an estimate of the percent of mercury switches recovered, and certification that the recovered mercury switches were recycled at facilities with permits as required under the rules implementing subtitle C of RCRA (40 CFR parts 261 through 265 and 268). The progress reports must be based on a database that includes data for each program participant; however, data may be aggregated at the State level for progress reports that will be publicly available. The Administrator may change the approval status of a program or portion of a </w:t>
            </w:r>
            <w:r w:rsidRPr="003B686D">
              <w:rPr>
                <w:rFonts w:ascii="Arial" w:eastAsia="Times New Roman" w:hAnsi="Arial" w:cs="Arial"/>
                <w:sz w:val="20"/>
              </w:rPr>
              <w:lastRenderedPageBreak/>
              <w:t>program (e.g., at the State level) following 90-days notice based on the progress reports or on other information.</w:t>
            </w:r>
          </w:p>
          <w:p w:rsidR="003B686D" w:rsidRPr="003B686D" w:rsidRDefault="003B686D" w:rsidP="003B686D">
            <w:pPr>
              <w:spacing w:before="100" w:beforeAutospacing="1" w:after="100" w:afterAutospacing="1" w:line="240" w:lineRule="auto"/>
              <w:ind w:firstLine="480"/>
              <w:jc w:val="center"/>
              <w:rPr>
                <w:rFonts w:ascii="Arial" w:eastAsia="Times New Roman" w:hAnsi="Arial" w:cs="Arial"/>
                <w:sz w:val="20"/>
              </w:rPr>
            </w:pPr>
            <w:r w:rsidRPr="003B686D">
              <w:rPr>
                <w:rFonts w:ascii="Arial" w:eastAsia="Times New Roman" w:hAnsi="Arial" w:cs="Arial"/>
                <w:sz w:val="20"/>
              </w:rPr>
              <w:t>(iv) You must develop and maintain onsite a plan demonstrating the manner through which your facility is participating in the EPA-approved program.</w:t>
            </w:r>
          </w:p>
          <w:p w:rsidR="003B686D" w:rsidRPr="003B686D" w:rsidRDefault="003B686D" w:rsidP="003B686D">
            <w:pPr>
              <w:spacing w:before="100" w:beforeAutospacing="1" w:after="100" w:afterAutospacing="1" w:line="240" w:lineRule="auto"/>
              <w:ind w:firstLine="480"/>
              <w:jc w:val="center"/>
              <w:rPr>
                <w:rFonts w:ascii="Arial" w:eastAsia="Times New Roman" w:hAnsi="Arial" w:cs="Arial"/>
                <w:sz w:val="20"/>
              </w:rPr>
            </w:pPr>
            <w:r w:rsidRPr="003B686D">
              <w:rPr>
                <w:rFonts w:ascii="Arial" w:eastAsia="Times New Roman" w:hAnsi="Arial" w:cs="Arial"/>
                <w:sz w:val="20"/>
              </w:rPr>
              <w:t>(A) The plan must include facility-specific implementation elements, corporate-wide policies, and/or efforts coordinated by a trade association as appropriate for each facility.</w:t>
            </w:r>
          </w:p>
          <w:p w:rsidR="003B686D" w:rsidRPr="003B686D" w:rsidRDefault="003B686D" w:rsidP="003B686D">
            <w:pPr>
              <w:spacing w:before="100" w:beforeAutospacing="1" w:after="100" w:afterAutospacing="1" w:line="240" w:lineRule="auto"/>
              <w:ind w:firstLine="480"/>
              <w:jc w:val="center"/>
              <w:rPr>
                <w:rFonts w:ascii="Arial" w:eastAsia="Times New Roman" w:hAnsi="Arial" w:cs="Arial"/>
                <w:sz w:val="20"/>
              </w:rPr>
            </w:pPr>
            <w:r w:rsidRPr="003B686D">
              <w:rPr>
                <w:rFonts w:ascii="Arial" w:eastAsia="Times New Roman" w:hAnsi="Arial" w:cs="Arial"/>
                <w:sz w:val="20"/>
              </w:rPr>
              <w:t>(B) You must provide in the plan documentation of direction to appropriate staff to communicate to suppliers throughout the scrap supply chain the need to promote the removal of mercury switches from end-of-life vehicles. Upon the request of the permitting authority, you must provide examples of materials that are used for outreach to suppliers, such as letters, contract language, policies for purchasing agents, and scrap inspection protocols.</w:t>
            </w:r>
          </w:p>
          <w:p w:rsidR="003B686D" w:rsidRPr="003B686D" w:rsidRDefault="003B686D" w:rsidP="003B686D">
            <w:pPr>
              <w:spacing w:before="100" w:beforeAutospacing="1" w:after="100" w:afterAutospacing="1" w:line="240" w:lineRule="auto"/>
              <w:ind w:firstLine="480"/>
              <w:jc w:val="center"/>
              <w:rPr>
                <w:rFonts w:ascii="Arial" w:eastAsia="Times New Roman" w:hAnsi="Arial" w:cs="Arial"/>
                <w:sz w:val="20"/>
              </w:rPr>
            </w:pPr>
            <w:r w:rsidRPr="003B686D">
              <w:rPr>
                <w:rFonts w:ascii="Arial" w:eastAsia="Times New Roman" w:hAnsi="Arial" w:cs="Arial"/>
                <w:sz w:val="20"/>
              </w:rPr>
              <w:t>(C) You must conduct periodic inspections or provide other means of corroboration to ensure that scrap providers are aware of the need for and are implementing appropriate steps to minimize the presence of mercury in scrap from end-of-life vehicles.</w:t>
            </w:r>
          </w:p>
          <w:p w:rsidR="003B686D" w:rsidRPr="003B686D" w:rsidRDefault="003B686D" w:rsidP="003B686D">
            <w:pPr>
              <w:spacing w:before="100" w:beforeAutospacing="1" w:after="100" w:afterAutospacing="1" w:line="240" w:lineRule="auto"/>
              <w:ind w:firstLine="480"/>
              <w:jc w:val="center"/>
              <w:rPr>
                <w:rFonts w:ascii="Arial" w:eastAsia="Times New Roman" w:hAnsi="Arial" w:cs="Arial"/>
                <w:sz w:val="20"/>
              </w:rPr>
            </w:pPr>
            <w:r w:rsidRPr="003B686D">
              <w:rPr>
                <w:rFonts w:ascii="Arial" w:eastAsia="Times New Roman" w:hAnsi="Arial" w:cs="Arial"/>
                <w:sz w:val="20"/>
              </w:rPr>
              <w:t xml:space="preserve">(3) </w:t>
            </w:r>
            <w:r w:rsidRPr="003B686D">
              <w:rPr>
                <w:rFonts w:ascii="Arial" w:eastAsia="Times New Roman" w:hAnsi="Arial" w:cs="Arial"/>
                <w:i/>
                <w:iCs/>
                <w:sz w:val="20"/>
              </w:rPr>
              <w:t>Option for specialty metal scrap.</w:t>
            </w:r>
            <w:r w:rsidRPr="003B686D">
              <w:rPr>
                <w:rFonts w:ascii="Arial" w:eastAsia="Times New Roman" w:hAnsi="Arial" w:cs="Arial"/>
                <w:sz w:val="20"/>
              </w:rPr>
              <w:t xml:space="preserve"> You must certify in your notification of compliance status that the only materials from motor vehicles in the scrap are materials recovered for their specialty alloy (including, but not limited to, chromium, nickel, molybdenum, or other alloys) content (such as certain exhaust systems) and, based on the nature of the scrap and purchase specifications, that the type of scrap is not reasonably expected to contain mercury switches.</w:t>
            </w:r>
          </w:p>
          <w:p w:rsidR="003B686D" w:rsidRPr="003B686D" w:rsidRDefault="003B686D" w:rsidP="003B686D">
            <w:pPr>
              <w:spacing w:before="100" w:beforeAutospacing="1" w:after="100" w:afterAutospacing="1" w:line="240" w:lineRule="auto"/>
              <w:ind w:firstLine="480"/>
              <w:jc w:val="center"/>
              <w:rPr>
                <w:rFonts w:ascii="Arial" w:eastAsia="Times New Roman" w:hAnsi="Arial" w:cs="Arial"/>
                <w:sz w:val="20"/>
              </w:rPr>
            </w:pPr>
            <w:r w:rsidRPr="003B686D">
              <w:rPr>
                <w:rFonts w:ascii="Arial" w:eastAsia="Times New Roman" w:hAnsi="Arial" w:cs="Arial"/>
                <w:sz w:val="20"/>
              </w:rPr>
              <w:t xml:space="preserve">(4) </w:t>
            </w:r>
            <w:r w:rsidRPr="003B686D">
              <w:rPr>
                <w:rFonts w:ascii="Arial" w:eastAsia="Times New Roman" w:hAnsi="Arial" w:cs="Arial"/>
                <w:i/>
                <w:iCs/>
                <w:sz w:val="20"/>
              </w:rPr>
              <w:t>Scrap that does not contain motor vehicle scrap.</w:t>
            </w:r>
            <w:r w:rsidRPr="003B686D">
              <w:rPr>
                <w:rFonts w:ascii="Arial" w:eastAsia="Times New Roman" w:hAnsi="Arial" w:cs="Arial"/>
                <w:sz w:val="20"/>
              </w:rPr>
              <w:t xml:space="preserve"> For scrap not subject to the requirements in paragraphs (b</w:t>
            </w:r>
            <w:proofErr w:type="gramStart"/>
            <w:r w:rsidRPr="003B686D">
              <w:rPr>
                <w:rFonts w:ascii="Arial" w:eastAsia="Times New Roman" w:hAnsi="Arial" w:cs="Arial"/>
                <w:sz w:val="20"/>
              </w:rPr>
              <w:t>)(</w:t>
            </w:r>
            <w:proofErr w:type="gramEnd"/>
            <w:r w:rsidRPr="003B686D">
              <w:rPr>
                <w:rFonts w:ascii="Arial" w:eastAsia="Times New Roman" w:hAnsi="Arial" w:cs="Arial"/>
                <w:sz w:val="20"/>
              </w:rPr>
              <w:t>1) through (3) of this section, you must certify in your notification of compliance status and maintain records of documentation that this scrap does not contain motor vehicle scrap.</w:t>
            </w:r>
          </w:p>
          <w:p w:rsidR="003B686D" w:rsidRPr="003B686D" w:rsidRDefault="003B686D" w:rsidP="003B686D">
            <w:pPr>
              <w:spacing w:before="100" w:beforeAutospacing="1" w:after="100" w:afterAutospacing="1" w:line="240" w:lineRule="auto"/>
              <w:ind w:firstLine="480"/>
              <w:jc w:val="center"/>
              <w:rPr>
                <w:rFonts w:ascii="Arial" w:eastAsia="Times New Roman" w:hAnsi="Arial" w:cs="Arial"/>
                <w:sz w:val="20"/>
              </w:rPr>
            </w:pPr>
            <w:r w:rsidRPr="003B686D">
              <w:rPr>
                <w:rFonts w:ascii="Arial" w:eastAsia="Times New Roman" w:hAnsi="Arial" w:cs="Arial"/>
                <w:sz w:val="20"/>
              </w:rPr>
              <w:t xml:space="preserve">(c) </w:t>
            </w:r>
            <w:r w:rsidRPr="003B686D">
              <w:rPr>
                <w:rFonts w:ascii="Arial" w:eastAsia="Times New Roman" w:hAnsi="Arial" w:cs="Arial"/>
                <w:i/>
                <w:iCs/>
                <w:sz w:val="20"/>
              </w:rPr>
              <w:t>Recordkeeping and reporting requirements.</w:t>
            </w:r>
            <w:r w:rsidRPr="003B686D">
              <w:rPr>
                <w:rFonts w:ascii="Arial" w:eastAsia="Times New Roman" w:hAnsi="Arial" w:cs="Arial"/>
                <w:sz w:val="20"/>
              </w:rPr>
              <w:t xml:space="preserve"> In addition to the records required by §63.10, you must keep records to demonstrate compliance with the requirements for your pollution prevention plan in paragraph (a)(1) of this section and/or for the use of only restricted scrap in paragraph (a)(2) of this section and for mercury in paragraphs (b)(1) through (3) of this section as applicable. You must keep records documenting compliance with paragraph (b</w:t>
            </w:r>
            <w:proofErr w:type="gramStart"/>
            <w:r w:rsidRPr="003B686D">
              <w:rPr>
                <w:rFonts w:ascii="Arial" w:eastAsia="Times New Roman" w:hAnsi="Arial" w:cs="Arial"/>
                <w:sz w:val="20"/>
              </w:rPr>
              <w:t>)(</w:t>
            </w:r>
            <w:proofErr w:type="gramEnd"/>
            <w:r w:rsidRPr="003B686D">
              <w:rPr>
                <w:rFonts w:ascii="Arial" w:eastAsia="Times New Roman" w:hAnsi="Arial" w:cs="Arial"/>
                <w:sz w:val="20"/>
              </w:rPr>
              <w:t>4) of this section for scrap that does not contain motor vehicle scrap.</w:t>
            </w:r>
          </w:p>
          <w:p w:rsidR="003B686D" w:rsidRPr="003B686D" w:rsidRDefault="003B686D" w:rsidP="003B686D">
            <w:pPr>
              <w:spacing w:before="100" w:beforeAutospacing="1" w:after="100" w:afterAutospacing="1" w:line="240" w:lineRule="auto"/>
              <w:ind w:firstLine="480"/>
              <w:jc w:val="center"/>
              <w:rPr>
                <w:rFonts w:ascii="Arial" w:eastAsia="Times New Roman" w:hAnsi="Arial" w:cs="Arial"/>
                <w:sz w:val="20"/>
              </w:rPr>
            </w:pPr>
            <w:r w:rsidRPr="003B686D">
              <w:rPr>
                <w:rFonts w:ascii="Arial" w:eastAsia="Times New Roman" w:hAnsi="Arial" w:cs="Arial"/>
                <w:sz w:val="20"/>
              </w:rPr>
              <w:t>(1) If you are subject to the requirements for a site-specific plan for mercury under paragraph (b)(1) of this section, you must:</w:t>
            </w:r>
          </w:p>
          <w:p w:rsidR="003B686D" w:rsidRPr="003B686D" w:rsidRDefault="003B686D" w:rsidP="003B686D">
            <w:pPr>
              <w:spacing w:before="100" w:beforeAutospacing="1" w:after="100" w:afterAutospacing="1" w:line="240" w:lineRule="auto"/>
              <w:ind w:firstLine="480"/>
              <w:jc w:val="center"/>
              <w:rPr>
                <w:rFonts w:ascii="Arial" w:eastAsia="Times New Roman" w:hAnsi="Arial" w:cs="Arial"/>
                <w:sz w:val="20"/>
              </w:rPr>
            </w:pPr>
            <w:r w:rsidRPr="003B686D">
              <w:rPr>
                <w:rFonts w:ascii="Arial" w:eastAsia="Times New Roman" w:hAnsi="Arial" w:cs="Arial"/>
                <w:sz w:val="20"/>
              </w:rPr>
              <w:t>(i) Maintain records of the number of mercury switches removed or the weight of mercury recovered from the switches and properly managed, the estimated number of vehicles processed, and an estimate of the percent of mercury switches recovered; and</w:t>
            </w:r>
          </w:p>
          <w:p w:rsidR="003B686D" w:rsidRPr="003B686D" w:rsidRDefault="003B686D" w:rsidP="003B686D">
            <w:pPr>
              <w:spacing w:before="100" w:beforeAutospacing="1" w:after="100" w:afterAutospacing="1" w:line="240" w:lineRule="auto"/>
              <w:ind w:firstLine="480"/>
              <w:jc w:val="center"/>
              <w:rPr>
                <w:rFonts w:ascii="Arial" w:eastAsia="Times New Roman" w:hAnsi="Arial" w:cs="Arial"/>
                <w:sz w:val="20"/>
              </w:rPr>
            </w:pPr>
            <w:r w:rsidRPr="003B686D">
              <w:rPr>
                <w:rFonts w:ascii="Arial" w:eastAsia="Times New Roman" w:hAnsi="Arial" w:cs="Arial"/>
                <w:sz w:val="20"/>
              </w:rPr>
              <w:t xml:space="preserve">(ii) Submit semiannual reports of the number of mercury switches removed or the weight of mercury recovered from the switches and properly managed, the estimated number of vehicles </w:t>
            </w:r>
            <w:proofErr w:type="gramStart"/>
            <w:r w:rsidRPr="003B686D">
              <w:rPr>
                <w:rFonts w:ascii="Arial" w:eastAsia="Times New Roman" w:hAnsi="Arial" w:cs="Arial"/>
                <w:sz w:val="20"/>
              </w:rPr>
              <w:t>processed,</w:t>
            </w:r>
            <w:proofErr w:type="gramEnd"/>
            <w:r w:rsidRPr="003B686D">
              <w:rPr>
                <w:rFonts w:ascii="Arial" w:eastAsia="Times New Roman" w:hAnsi="Arial" w:cs="Arial"/>
                <w:sz w:val="20"/>
              </w:rPr>
              <w:t xml:space="preserve"> an estimate of the percent of mercury switches recovered, and a certification that the recovered mercury switches were recycled at RCRA-permitted facilities. The semiannual reports must include a certification that you have conducted inspections or taken other means of corroboration as required under paragraph (b</w:t>
            </w:r>
            <w:proofErr w:type="gramStart"/>
            <w:r w:rsidRPr="003B686D">
              <w:rPr>
                <w:rFonts w:ascii="Arial" w:eastAsia="Times New Roman" w:hAnsi="Arial" w:cs="Arial"/>
                <w:sz w:val="20"/>
              </w:rPr>
              <w:t>)(</w:t>
            </w:r>
            <w:proofErr w:type="gramEnd"/>
            <w:r w:rsidRPr="003B686D">
              <w:rPr>
                <w:rFonts w:ascii="Arial" w:eastAsia="Times New Roman" w:hAnsi="Arial" w:cs="Arial"/>
                <w:sz w:val="20"/>
              </w:rPr>
              <w:t>1)(ii)(C) of this section. You may include this information in the semiannual compliance reports required under paragraph (c</w:t>
            </w:r>
            <w:proofErr w:type="gramStart"/>
            <w:r w:rsidRPr="003B686D">
              <w:rPr>
                <w:rFonts w:ascii="Arial" w:eastAsia="Times New Roman" w:hAnsi="Arial" w:cs="Arial"/>
                <w:sz w:val="20"/>
              </w:rPr>
              <w:t>)(</w:t>
            </w:r>
            <w:proofErr w:type="gramEnd"/>
            <w:r w:rsidRPr="003B686D">
              <w:rPr>
                <w:rFonts w:ascii="Arial" w:eastAsia="Times New Roman" w:hAnsi="Arial" w:cs="Arial"/>
                <w:sz w:val="20"/>
              </w:rPr>
              <w:t>3) of this section.</w:t>
            </w:r>
          </w:p>
          <w:p w:rsidR="003B686D" w:rsidRPr="003B686D" w:rsidRDefault="003B686D" w:rsidP="003B686D">
            <w:pPr>
              <w:spacing w:before="100" w:beforeAutospacing="1" w:after="100" w:afterAutospacing="1" w:line="240" w:lineRule="auto"/>
              <w:ind w:firstLine="480"/>
              <w:jc w:val="center"/>
              <w:rPr>
                <w:rFonts w:ascii="Arial" w:eastAsia="Times New Roman" w:hAnsi="Arial" w:cs="Arial"/>
                <w:sz w:val="20"/>
              </w:rPr>
            </w:pPr>
            <w:r w:rsidRPr="003B686D">
              <w:rPr>
                <w:rFonts w:ascii="Arial" w:eastAsia="Times New Roman" w:hAnsi="Arial" w:cs="Arial"/>
                <w:sz w:val="20"/>
              </w:rPr>
              <w:t xml:space="preserve">(2) If you are subject to the option for approved mercury programs under paragraph (b)(2) of this </w:t>
            </w:r>
            <w:r w:rsidRPr="003B686D">
              <w:rPr>
                <w:rFonts w:ascii="Arial" w:eastAsia="Times New Roman" w:hAnsi="Arial" w:cs="Arial"/>
                <w:sz w:val="20"/>
              </w:rPr>
              <w:lastRenderedPageBreak/>
              <w:t>section, you must maintain records identifying each scrap provider and documenting the scrap provider's participation in an approved mercury switch removal program. If you purchase motor vehicle scrap from a broker, you must maintain records identifying each broker and documentation that all scrap provided by the broker was obtained from other scrap providers who participate in an approved mercury switch removal program.</w:t>
            </w:r>
          </w:p>
          <w:p w:rsidR="003B686D" w:rsidRPr="003B686D" w:rsidRDefault="003B686D" w:rsidP="003B686D">
            <w:pPr>
              <w:spacing w:before="100" w:beforeAutospacing="1" w:after="100" w:afterAutospacing="1" w:line="240" w:lineRule="auto"/>
              <w:ind w:firstLine="480"/>
              <w:jc w:val="center"/>
              <w:rPr>
                <w:rFonts w:ascii="Arial" w:eastAsia="Times New Roman" w:hAnsi="Arial" w:cs="Arial"/>
                <w:sz w:val="20"/>
              </w:rPr>
            </w:pPr>
            <w:r w:rsidRPr="003B686D">
              <w:rPr>
                <w:rFonts w:ascii="Arial" w:eastAsia="Times New Roman" w:hAnsi="Arial" w:cs="Arial"/>
                <w:sz w:val="20"/>
              </w:rPr>
              <w:t xml:space="preserve">(3) You must submit semiannual compliance reports to the Administrator for the control of contaminants from scrap according to the requirements in §63.10(e). The report must clearly identify any deviation from the requirements in paragraphs (a) and (b) of this section and the corrective action taken. You must identify which compliance option in paragraph (b) of this section applies to each scrap provider, contract, or shipment. </w:t>
            </w:r>
          </w:p>
          <w:p w:rsidR="003B686D" w:rsidRPr="003B686D" w:rsidRDefault="003B686D" w:rsidP="003B686D">
            <w:pPr>
              <w:spacing w:before="200" w:after="100" w:afterAutospacing="1" w:line="240" w:lineRule="auto"/>
              <w:rPr>
                <w:rFonts w:ascii="Arial" w:eastAsia="Times New Roman" w:hAnsi="Arial" w:cs="Arial"/>
                <w:sz w:val="20"/>
              </w:rPr>
            </w:pPr>
            <w:hyperlink r:id="rId20" w:anchor="_top" w:history="1">
              <w:r>
                <w:rPr>
                  <w:rFonts w:ascii="Arial" w:eastAsia="Times New Roman" w:hAnsi="Arial" w:cs="Arial"/>
                  <w:noProof/>
                  <w:color w:val="0000FF"/>
                  <w:sz w:val="17"/>
                  <w:szCs w:val="17"/>
                </w:rPr>
                <w:drawing>
                  <wp:inline distT="0" distB="0" distL="0" distR="0">
                    <wp:extent cx="152400" cy="152400"/>
                    <wp:effectExtent l="0" t="0" r="0" b="0"/>
                    <wp:docPr id="8" name="Picture 8" descr="return arrow">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16"/>
                            </pic:cNvPr>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B686D">
                <w:rPr>
                  <w:rFonts w:ascii="Arial" w:eastAsia="Times New Roman" w:hAnsi="Arial" w:cs="Arial"/>
                  <w:color w:val="0000FF"/>
                  <w:sz w:val="17"/>
                </w:rPr>
                <w:t>Back to Top</w:t>
              </w:r>
            </w:hyperlink>
          </w:p>
          <w:p w:rsidR="003B686D" w:rsidRPr="003B686D" w:rsidRDefault="003B686D" w:rsidP="003B686D">
            <w:pPr>
              <w:spacing w:before="200" w:after="100" w:line="240" w:lineRule="auto"/>
              <w:outlineLvl w:val="1"/>
              <w:rPr>
                <w:rFonts w:ascii="Arial" w:eastAsia="Times New Roman" w:hAnsi="Arial" w:cs="Arial"/>
                <w:b/>
                <w:bCs/>
                <w:sz w:val="20"/>
              </w:rPr>
            </w:pPr>
            <w:bookmarkStart w:id="5" w:name="40:15.0.1.1.1.12.224.4"/>
            <w:bookmarkEnd w:id="5"/>
            <w:r w:rsidRPr="003B686D">
              <w:rPr>
                <w:rFonts w:ascii="Arial" w:eastAsia="Times New Roman" w:hAnsi="Arial" w:cs="Arial"/>
                <w:b/>
                <w:bCs/>
                <w:sz w:val="20"/>
              </w:rPr>
              <w:t>§63.10686   What are the requirements for electric arc furnaces and argon-oxygen decarburization vessels?</w:t>
            </w:r>
          </w:p>
          <w:p w:rsidR="003B686D" w:rsidRPr="003B686D" w:rsidRDefault="003B686D" w:rsidP="00455252">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(a) You must install, operate, and maintain a capture system that collects the emissions from each EAF (including charging, melting, and tapping operations) and argon-oxygen decarburization (AOD) vessel and conveys the collected emissions to a control device for the removal of particulate matter (PM).</w:t>
            </w:r>
          </w:p>
          <w:p w:rsidR="003B686D" w:rsidRPr="003B686D" w:rsidRDefault="003B686D" w:rsidP="00455252">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(b) Except as provided in paragraph (c) of this section, you must not discharge or cause the discharge into the atmosphere from an EAF or AOD vessel any gases which:</w:t>
            </w:r>
          </w:p>
          <w:p w:rsidR="003B686D" w:rsidRPr="003B686D" w:rsidRDefault="003B686D" w:rsidP="00455252">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(1) Exit from a control device and contain in excess of 0.0052 grains of PM per dry standard cubic foot (gr/dscf); and</w:t>
            </w:r>
          </w:p>
          <w:p w:rsidR="003B686D" w:rsidRPr="003B686D" w:rsidRDefault="003B686D" w:rsidP="00455252">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(2) Exit from a melt shop and, due solely to the operations of any affected EAF(s) or AOD vessel(s), exhibit 6 percent opacity or greater.</w:t>
            </w:r>
          </w:p>
          <w:p w:rsidR="003B686D" w:rsidRPr="003B686D" w:rsidRDefault="003B686D" w:rsidP="00455252">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(c) If you own or operate a new or existing affected source that has a production capacity of less than 150,000 tons per year (tpy) of stainless or specialty steel (as determined by the maximum production if specified in the source's operating permit or EAF capacity and maximum number of operating hours per year), you must not discharge or cause the discharge into the atmosphere from an EAF or AOD vessel any gases which:</w:t>
            </w:r>
          </w:p>
          <w:p w:rsidR="003B686D" w:rsidRPr="003B686D" w:rsidRDefault="003B686D" w:rsidP="00C9421A">
            <w:pPr>
              <w:spacing w:before="100" w:beforeAutospacing="1" w:after="100" w:afterAutospacing="1" w:line="240" w:lineRule="auto"/>
              <w:ind w:firstLine="480"/>
              <w:rPr>
                <w:rFonts w:ascii="Arial" w:eastAsia="Times New Roman" w:hAnsi="Arial" w:cs="Arial"/>
                <w:sz w:val="20"/>
              </w:rPr>
            </w:pPr>
            <w:r w:rsidRPr="003B686D">
              <w:rPr>
                <w:rFonts w:ascii="Arial" w:eastAsia="Times New Roman" w:hAnsi="Arial" w:cs="Arial"/>
                <w:sz w:val="20"/>
              </w:rPr>
              <w:t>(1) Exit from a control device and contain particulate matter (PM) in excess of 0.8 pounds per ton (lb/ton) of steel. Alternatively, the owner or operator may elect to comply with a PM limit of 0.0052 grains per dry standard cubic foot (gr/dscf); and</w:t>
            </w:r>
          </w:p>
          <w:p w:rsidR="003B686D" w:rsidRPr="003B686D" w:rsidRDefault="003B686D" w:rsidP="00C9421A">
            <w:pPr>
              <w:spacing w:before="100" w:beforeAutospacing="1" w:after="100" w:afterAutospacing="1" w:line="240" w:lineRule="auto"/>
              <w:ind w:firstLine="480"/>
              <w:rPr>
                <w:rFonts w:ascii="Arial" w:eastAsia="Times New Roman" w:hAnsi="Arial" w:cs="Arial"/>
                <w:sz w:val="20"/>
              </w:rPr>
            </w:pPr>
            <w:r w:rsidRPr="003B686D">
              <w:rPr>
                <w:rFonts w:ascii="Arial" w:eastAsia="Times New Roman" w:hAnsi="Arial" w:cs="Arial"/>
                <w:sz w:val="20"/>
              </w:rPr>
              <w:t>(2) Exit from a melt shop and, due solely to the operations of any affected EAF(s) or AOD vessel(s), exhibit 6 percent opacity or greater.</w:t>
            </w:r>
          </w:p>
          <w:p w:rsidR="003B686D" w:rsidRPr="003B686D" w:rsidRDefault="003B686D" w:rsidP="00C9421A">
            <w:pPr>
              <w:spacing w:before="100" w:beforeAutospacing="1" w:after="100" w:afterAutospacing="1" w:line="240" w:lineRule="auto"/>
              <w:ind w:firstLine="480"/>
              <w:rPr>
                <w:rFonts w:ascii="Arial" w:eastAsia="Times New Roman" w:hAnsi="Arial" w:cs="Arial"/>
                <w:sz w:val="20"/>
              </w:rPr>
            </w:pPr>
            <w:r w:rsidRPr="003B686D">
              <w:rPr>
                <w:rFonts w:ascii="Arial" w:eastAsia="Times New Roman" w:hAnsi="Arial" w:cs="Arial"/>
                <w:sz w:val="20"/>
              </w:rPr>
              <w:t>(d) Except as provided in paragraph (d)(6) of this section, you must conduct performance tests to demonstrate initial compliance with the applicable emissions limit for each emissions source subject to an emissions limit in paragraph (b) or (c) of this section.</w:t>
            </w:r>
          </w:p>
          <w:p w:rsidR="003B686D" w:rsidRPr="003B686D" w:rsidRDefault="003B686D" w:rsidP="00C9421A">
            <w:pPr>
              <w:spacing w:before="100" w:beforeAutospacing="1" w:after="100" w:afterAutospacing="1" w:line="240" w:lineRule="auto"/>
              <w:ind w:firstLine="480"/>
              <w:rPr>
                <w:rFonts w:ascii="Arial" w:eastAsia="Times New Roman" w:hAnsi="Arial" w:cs="Arial"/>
                <w:sz w:val="20"/>
              </w:rPr>
            </w:pPr>
            <w:r w:rsidRPr="003B686D">
              <w:rPr>
                <w:rFonts w:ascii="Arial" w:eastAsia="Times New Roman" w:hAnsi="Arial" w:cs="Arial"/>
                <w:sz w:val="20"/>
              </w:rPr>
              <w:t>(1) You must conduct each PM performance test for an EAF or AOD vessel according to the procedures in §63.7 and 40 CFR 60.275a using the following test methods in 40 CFR part 60, appendices A-1, A-2, A-3, and A-4:</w:t>
            </w:r>
          </w:p>
          <w:p w:rsidR="003B686D" w:rsidRPr="003B686D" w:rsidRDefault="003B686D" w:rsidP="00C9421A">
            <w:pPr>
              <w:spacing w:before="100" w:beforeAutospacing="1" w:after="100" w:afterAutospacing="1" w:line="240" w:lineRule="auto"/>
              <w:ind w:firstLine="480"/>
              <w:rPr>
                <w:rFonts w:ascii="Arial" w:eastAsia="Times New Roman" w:hAnsi="Arial" w:cs="Arial"/>
                <w:sz w:val="20"/>
              </w:rPr>
            </w:pPr>
            <w:r w:rsidRPr="003B686D">
              <w:rPr>
                <w:rFonts w:ascii="Arial" w:eastAsia="Times New Roman" w:hAnsi="Arial" w:cs="Arial"/>
                <w:sz w:val="20"/>
              </w:rPr>
              <w:t xml:space="preserve">(i) Method 1 or 1A of appendix A-1 of 40 CFR part 60 to select sampling port locations and the </w:t>
            </w:r>
            <w:r w:rsidRPr="003B686D">
              <w:rPr>
                <w:rFonts w:ascii="Arial" w:eastAsia="Times New Roman" w:hAnsi="Arial" w:cs="Arial"/>
                <w:sz w:val="20"/>
              </w:rPr>
              <w:lastRenderedPageBreak/>
              <w:t>number of traverse points in each stack or duct. Sampling sites must be located at the outlet of the control device (or at the outlet of the emissions source if no control device is present) prior to any releases to the atmosphere.</w:t>
            </w:r>
          </w:p>
          <w:p w:rsidR="003B686D" w:rsidRPr="003B686D" w:rsidRDefault="003B686D" w:rsidP="00C9421A">
            <w:pPr>
              <w:spacing w:before="100" w:beforeAutospacing="1" w:after="100" w:afterAutospacing="1" w:line="240" w:lineRule="auto"/>
              <w:ind w:firstLine="480"/>
              <w:rPr>
                <w:rFonts w:ascii="Arial" w:eastAsia="Times New Roman" w:hAnsi="Arial" w:cs="Arial"/>
                <w:sz w:val="20"/>
              </w:rPr>
            </w:pPr>
            <w:r w:rsidRPr="003B686D">
              <w:rPr>
                <w:rFonts w:ascii="Arial" w:eastAsia="Times New Roman" w:hAnsi="Arial" w:cs="Arial"/>
                <w:sz w:val="20"/>
              </w:rPr>
              <w:t>(ii) Method 2, 2A, 2C, 2D, 2F, or 2G of appendix A-1 of 40 CFR part 60 to determine the volumetric flow rate of the stack gas.</w:t>
            </w:r>
          </w:p>
          <w:p w:rsidR="003B686D" w:rsidRPr="003B686D" w:rsidRDefault="003B686D" w:rsidP="00C9421A">
            <w:pPr>
              <w:spacing w:before="100" w:beforeAutospacing="1" w:after="100" w:afterAutospacing="1" w:line="240" w:lineRule="auto"/>
              <w:ind w:firstLine="480"/>
              <w:rPr>
                <w:rFonts w:ascii="Arial" w:eastAsia="Times New Roman" w:hAnsi="Arial" w:cs="Arial"/>
                <w:sz w:val="20"/>
              </w:rPr>
            </w:pPr>
            <w:r w:rsidRPr="003B686D">
              <w:rPr>
                <w:rFonts w:ascii="Arial" w:eastAsia="Times New Roman" w:hAnsi="Arial" w:cs="Arial"/>
                <w:sz w:val="20"/>
              </w:rPr>
              <w:t xml:space="preserve">(iii) Method 3, 3A, or 3B of appendix A-3 of 40 CFR </w:t>
            </w:r>
            <w:proofErr w:type="gramStart"/>
            <w:r w:rsidRPr="003B686D">
              <w:rPr>
                <w:rFonts w:ascii="Arial" w:eastAsia="Times New Roman" w:hAnsi="Arial" w:cs="Arial"/>
                <w:sz w:val="20"/>
              </w:rPr>
              <w:t>part</w:t>
            </w:r>
            <w:proofErr w:type="gramEnd"/>
            <w:r w:rsidRPr="003B686D">
              <w:rPr>
                <w:rFonts w:ascii="Arial" w:eastAsia="Times New Roman" w:hAnsi="Arial" w:cs="Arial"/>
                <w:sz w:val="20"/>
              </w:rPr>
              <w:t xml:space="preserve"> 60 to determine the dry molecular weight of the stack gas. You may use ANSI/ASME PTC 19.10-1981, “Flue and Exhaust Gas Analyses” (incorporated by reference—see §63.14) as an alternative to EPA Method 3B.</w:t>
            </w:r>
          </w:p>
          <w:p w:rsidR="003B686D" w:rsidRPr="003B686D" w:rsidRDefault="003B686D" w:rsidP="00C9421A">
            <w:pPr>
              <w:spacing w:before="100" w:beforeAutospacing="1" w:after="100" w:afterAutospacing="1" w:line="240" w:lineRule="auto"/>
              <w:ind w:firstLine="480"/>
              <w:rPr>
                <w:rFonts w:ascii="Arial" w:eastAsia="Times New Roman" w:hAnsi="Arial" w:cs="Arial"/>
                <w:sz w:val="20"/>
              </w:rPr>
            </w:pPr>
            <w:r w:rsidRPr="003B686D">
              <w:rPr>
                <w:rFonts w:ascii="Arial" w:eastAsia="Times New Roman" w:hAnsi="Arial" w:cs="Arial"/>
                <w:sz w:val="20"/>
              </w:rPr>
              <w:t xml:space="preserve">(iv) Method 4 of appendix A-3 of 40 CFR </w:t>
            </w:r>
            <w:proofErr w:type="gramStart"/>
            <w:r w:rsidRPr="003B686D">
              <w:rPr>
                <w:rFonts w:ascii="Arial" w:eastAsia="Times New Roman" w:hAnsi="Arial" w:cs="Arial"/>
                <w:sz w:val="20"/>
              </w:rPr>
              <w:t>part</w:t>
            </w:r>
            <w:proofErr w:type="gramEnd"/>
            <w:r w:rsidRPr="003B686D">
              <w:rPr>
                <w:rFonts w:ascii="Arial" w:eastAsia="Times New Roman" w:hAnsi="Arial" w:cs="Arial"/>
                <w:sz w:val="20"/>
              </w:rPr>
              <w:t xml:space="preserve"> 60 to determine the moisture content of the stack gas.</w:t>
            </w:r>
          </w:p>
          <w:p w:rsidR="003B686D" w:rsidRPr="003B686D" w:rsidRDefault="003B686D" w:rsidP="00C9421A">
            <w:pPr>
              <w:spacing w:before="100" w:beforeAutospacing="1" w:after="100" w:afterAutospacing="1" w:line="240" w:lineRule="auto"/>
              <w:ind w:firstLine="480"/>
              <w:rPr>
                <w:rFonts w:ascii="Arial" w:eastAsia="Times New Roman" w:hAnsi="Arial" w:cs="Arial"/>
                <w:sz w:val="20"/>
              </w:rPr>
            </w:pPr>
            <w:r w:rsidRPr="003B686D">
              <w:rPr>
                <w:rFonts w:ascii="Arial" w:eastAsia="Times New Roman" w:hAnsi="Arial" w:cs="Arial"/>
                <w:sz w:val="20"/>
              </w:rPr>
              <w:t>(v) Method 5 or 5D of appendix A-3 of 40 CFR part 60 to determine the PM concentration. Three valid test runs are needed to comprise a PM performance test. For EAF, sample only when metal is being melted and refined. For AOD vessels, sample only when the operation(s) are being conducted.</w:t>
            </w:r>
          </w:p>
          <w:p w:rsidR="003B686D" w:rsidRPr="003B686D" w:rsidRDefault="003B686D" w:rsidP="00F16C7A">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(2) You must conduct each opacity test for a melt shop according to the procedures in §63.6(h) and Method 9 of appendix A-4 of 40 CFR part 60. When emissions from any EAF or AOD vessel are combined with emissions from emission sources not subject to this subpart, you must demonstrate compliance with the melt shop opacity limit based on emissions from only the emission sources subject to this subpart.</w:t>
            </w:r>
          </w:p>
          <w:p w:rsidR="003B686D" w:rsidRPr="003B686D" w:rsidRDefault="003B686D" w:rsidP="00F16C7A">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 xml:space="preserve">(3) During any performance test, you must monitor and record the information specified in 40 CFR </w:t>
            </w:r>
            <w:proofErr w:type="gramStart"/>
            <w:r w:rsidRPr="003B686D">
              <w:rPr>
                <w:rFonts w:ascii="Arial" w:eastAsia="Times New Roman" w:hAnsi="Arial" w:cs="Arial"/>
                <w:sz w:val="20"/>
              </w:rPr>
              <w:t>60.274a(</w:t>
            </w:r>
            <w:proofErr w:type="gramEnd"/>
            <w:r w:rsidRPr="003B686D">
              <w:rPr>
                <w:rFonts w:ascii="Arial" w:eastAsia="Times New Roman" w:hAnsi="Arial" w:cs="Arial"/>
                <w:sz w:val="20"/>
              </w:rPr>
              <w:t>h) for all heats covered by the test.</w:t>
            </w:r>
          </w:p>
          <w:p w:rsidR="003B686D" w:rsidRPr="003B686D" w:rsidRDefault="003B686D" w:rsidP="00F16C7A">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(4) You must notify and receive approval from the Administrator for procedures that will be used to determine compliance for an EAF or AOD vessel when emissions are combined with those from facilities not subject to this subpart.</w:t>
            </w:r>
          </w:p>
          <w:p w:rsidR="003B686D" w:rsidRPr="003B686D" w:rsidRDefault="003B686D" w:rsidP="00F16C7A">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(5) To determine compliance with the PM emissions limit in paragraph (c) of this section for an EAF or AOD vessel in a lb/ton of steel format, compute the process-weighted mass emissions (E</w:t>
            </w:r>
            <w:r w:rsidRPr="003B686D">
              <w:rPr>
                <w:rFonts w:ascii="Arial" w:eastAsia="Times New Roman" w:hAnsi="Arial" w:cs="Arial"/>
                <w:sz w:val="14"/>
                <w:szCs w:val="14"/>
                <w:vertAlign w:val="subscript"/>
              </w:rPr>
              <w:t>p</w:t>
            </w:r>
            <w:r w:rsidRPr="003B686D">
              <w:rPr>
                <w:rFonts w:ascii="Arial" w:eastAsia="Times New Roman" w:hAnsi="Arial" w:cs="Arial"/>
                <w:sz w:val="20"/>
              </w:rPr>
              <w:t xml:space="preserve">) for each test run using Equation 1 of this section: </w:t>
            </w:r>
          </w:p>
          <w:p w:rsidR="003B686D" w:rsidRPr="003B686D" w:rsidRDefault="003B686D" w:rsidP="00C9421A">
            <w:pPr>
              <w:spacing w:after="0" w:line="240" w:lineRule="auto"/>
              <w:rPr>
                <w:rFonts w:ascii="Arial" w:eastAsia="Times New Roman" w:hAnsi="Arial" w:cs="Arial"/>
                <w:sz w:val="20"/>
              </w:rPr>
            </w:pPr>
            <w:r>
              <w:rPr>
                <w:rFonts w:ascii="Arial" w:eastAsia="Times New Roman" w:hAnsi="Arial" w:cs="Arial"/>
                <w:noProof/>
                <w:sz w:val="20"/>
              </w:rPr>
              <w:drawing>
                <wp:inline distT="0" distB="0" distL="0" distR="0">
                  <wp:extent cx="1390650" cy="342900"/>
                  <wp:effectExtent l="19050" t="0" r="0" b="0"/>
                  <wp:docPr id="9" name="Picture 9" descr="eCFR graphic er28de07.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CFR graphic er28de07.004.gif"/>
                          <pic:cNvPicPr>
                            <a:picLocks noChangeAspect="1" noChangeArrowheads="1"/>
                          </pic:cNvPicPr>
                        </pic:nvPicPr>
                        <pic:blipFill>
                          <a:blip r:embed="rId21" cstate="print"/>
                          <a:srcRect/>
                          <a:stretch>
                            <a:fillRect/>
                          </a:stretch>
                        </pic:blipFill>
                        <pic:spPr bwMode="auto">
                          <a:xfrm>
                            <a:off x="0" y="0"/>
                            <a:ext cx="1390650" cy="342900"/>
                          </a:xfrm>
                          <a:prstGeom prst="rect">
                            <a:avLst/>
                          </a:prstGeom>
                          <a:noFill/>
                          <a:ln w="9525">
                            <a:noFill/>
                            <a:miter lim="800000"/>
                            <a:headEnd/>
                            <a:tailEnd/>
                          </a:ln>
                        </pic:spPr>
                      </pic:pic>
                    </a:graphicData>
                  </a:graphic>
                </wp:inline>
              </w:drawing>
            </w:r>
          </w:p>
          <w:p w:rsidR="003B686D" w:rsidRPr="003B686D" w:rsidRDefault="003B686D" w:rsidP="00C9421A">
            <w:pPr>
              <w:spacing w:before="100" w:beforeAutospacing="1" w:after="100" w:afterAutospacing="1" w:line="240" w:lineRule="auto"/>
              <w:ind w:firstLine="480"/>
              <w:rPr>
                <w:rFonts w:ascii="Arial" w:eastAsia="Times New Roman" w:hAnsi="Arial" w:cs="Arial"/>
                <w:sz w:val="20"/>
              </w:rPr>
            </w:pPr>
            <w:hyperlink r:id="rId22" w:history="1">
              <w:r w:rsidRPr="003B686D">
                <w:rPr>
                  <w:rFonts w:ascii="Arial" w:eastAsia="Times New Roman" w:hAnsi="Arial" w:cs="Arial"/>
                  <w:color w:val="0000FF"/>
                  <w:sz w:val="17"/>
                </w:rPr>
                <w:t>View or download PDF</w:t>
              </w:r>
            </w:hyperlink>
            <w:r w:rsidRPr="003B686D">
              <w:rPr>
                <w:rFonts w:ascii="Arial" w:eastAsia="Times New Roman" w:hAnsi="Arial" w:cs="Arial"/>
                <w:sz w:val="20"/>
              </w:rPr>
              <w:t xml:space="preserve"> </w:t>
            </w:r>
          </w:p>
          <w:p w:rsidR="003B686D" w:rsidRPr="003B686D" w:rsidRDefault="003B686D" w:rsidP="00C9421A">
            <w:pPr>
              <w:spacing w:before="200" w:after="100" w:afterAutospacing="1" w:line="240" w:lineRule="auto"/>
              <w:rPr>
                <w:rFonts w:ascii="Arial" w:eastAsia="Times New Roman" w:hAnsi="Arial" w:cs="Arial"/>
                <w:sz w:val="18"/>
                <w:szCs w:val="18"/>
              </w:rPr>
            </w:pPr>
            <w:r w:rsidRPr="003B686D">
              <w:rPr>
                <w:rFonts w:ascii="Arial" w:eastAsia="Times New Roman" w:hAnsi="Arial" w:cs="Arial"/>
                <w:sz w:val="18"/>
                <w:szCs w:val="18"/>
              </w:rPr>
              <w:t>Where:</w:t>
            </w:r>
          </w:p>
          <w:p w:rsidR="003B686D" w:rsidRPr="003B686D" w:rsidRDefault="003B686D" w:rsidP="00C9421A">
            <w:pPr>
              <w:spacing w:before="200" w:after="100" w:line="240" w:lineRule="auto"/>
              <w:ind w:left="960" w:hanging="960"/>
              <w:rPr>
                <w:rFonts w:ascii="Arial" w:eastAsia="Times New Roman" w:hAnsi="Arial" w:cs="Arial"/>
                <w:sz w:val="18"/>
                <w:szCs w:val="18"/>
              </w:rPr>
            </w:pPr>
            <w:r w:rsidRPr="003B686D">
              <w:rPr>
                <w:rFonts w:ascii="Arial" w:eastAsia="Times New Roman" w:hAnsi="Arial" w:cs="Arial"/>
                <w:sz w:val="18"/>
                <w:szCs w:val="18"/>
              </w:rPr>
              <w:t>E</w:t>
            </w:r>
            <w:r w:rsidRPr="003B686D">
              <w:rPr>
                <w:rFonts w:ascii="Arial" w:eastAsia="Times New Roman" w:hAnsi="Arial" w:cs="Arial"/>
                <w:sz w:val="13"/>
                <w:szCs w:val="13"/>
                <w:vertAlign w:val="subscript"/>
              </w:rPr>
              <w:t>p</w:t>
            </w:r>
            <w:r w:rsidRPr="003B686D">
              <w:rPr>
                <w:rFonts w:ascii="Arial" w:eastAsia="Times New Roman" w:hAnsi="Arial" w:cs="Arial"/>
                <w:sz w:val="18"/>
                <w:szCs w:val="18"/>
              </w:rPr>
              <w:t xml:space="preserve"> = Process-weighted mass emissions of PM, lb/ton; </w:t>
            </w:r>
          </w:p>
          <w:p w:rsidR="003B686D" w:rsidRPr="003B686D" w:rsidRDefault="003B686D" w:rsidP="00C9421A">
            <w:pPr>
              <w:spacing w:before="200" w:after="100" w:line="240" w:lineRule="auto"/>
              <w:ind w:left="960" w:hanging="960"/>
              <w:rPr>
                <w:rFonts w:ascii="Arial" w:eastAsia="Times New Roman" w:hAnsi="Arial" w:cs="Arial"/>
                <w:sz w:val="18"/>
                <w:szCs w:val="18"/>
              </w:rPr>
            </w:pPr>
            <w:r w:rsidRPr="003B686D">
              <w:rPr>
                <w:rFonts w:ascii="Arial" w:eastAsia="Times New Roman" w:hAnsi="Arial" w:cs="Arial"/>
                <w:sz w:val="18"/>
                <w:szCs w:val="18"/>
              </w:rPr>
              <w:t xml:space="preserve">C = Concentration of PM or total metal HAP, gr/dscf; </w:t>
            </w:r>
          </w:p>
          <w:p w:rsidR="003B686D" w:rsidRPr="003B686D" w:rsidRDefault="003B686D" w:rsidP="00C9421A">
            <w:pPr>
              <w:spacing w:before="200" w:after="100" w:line="240" w:lineRule="auto"/>
              <w:ind w:left="960" w:hanging="960"/>
              <w:rPr>
                <w:rFonts w:ascii="Arial" w:eastAsia="Times New Roman" w:hAnsi="Arial" w:cs="Arial"/>
                <w:sz w:val="18"/>
                <w:szCs w:val="18"/>
              </w:rPr>
            </w:pPr>
            <w:r w:rsidRPr="003B686D">
              <w:rPr>
                <w:rFonts w:ascii="Arial" w:eastAsia="Times New Roman" w:hAnsi="Arial" w:cs="Arial"/>
                <w:sz w:val="18"/>
                <w:szCs w:val="18"/>
              </w:rPr>
              <w:t xml:space="preserve">Q = Volumetric flow rate of stack gas, dscf/hr; </w:t>
            </w:r>
          </w:p>
          <w:p w:rsidR="003B686D" w:rsidRPr="003B686D" w:rsidRDefault="003B686D" w:rsidP="00C9421A">
            <w:pPr>
              <w:spacing w:before="200" w:after="100" w:line="240" w:lineRule="auto"/>
              <w:ind w:left="960" w:hanging="960"/>
              <w:rPr>
                <w:rFonts w:ascii="Arial" w:eastAsia="Times New Roman" w:hAnsi="Arial" w:cs="Arial"/>
                <w:sz w:val="18"/>
                <w:szCs w:val="18"/>
              </w:rPr>
            </w:pPr>
            <w:r w:rsidRPr="003B686D">
              <w:rPr>
                <w:rFonts w:ascii="Arial" w:eastAsia="Times New Roman" w:hAnsi="Arial" w:cs="Arial"/>
                <w:sz w:val="18"/>
                <w:szCs w:val="18"/>
              </w:rPr>
              <w:t xml:space="preserve">T = Total time during a test run that a sample is withdrawn from the stack during steel production cycle, hr; </w:t>
            </w:r>
          </w:p>
          <w:p w:rsidR="003B686D" w:rsidRPr="003B686D" w:rsidRDefault="003B686D" w:rsidP="00C9421A">
            <w:pPr>
              <w:spacing w:before="200" w:after="100" w:line="240" w:lineRule="auto"/>
              <w:ind w:left="960" w:hanging="960"/>
              <w:rPr>
                <w:rFonts w:ascii="Arial" w:eastAsia="Times New Roman" w:hAnsi="Arial" w:cs="Arial"/>
                <w:sz w:val="18"/>
                <w:szCs w:val="18"/>
              </w:rPr>
            </w:pPr>
            <w:r w:rsidRPr="003B686D">
              <w:rPr>
                <w:rFonts w:ascii="Arial" w:eastAsia="Times New Roman" w:hAnsi="Arial" w:cs="Arial"/>
                <w:sz w:val="18"/>
                <w:szCs w:val="18"/>
              </w:rPr>
              <w:t xml:space="preserve">P = Total amount of metal produced during the test run, tons; and </w:t>
            </w:r>
          </w:p>
          <w:p w:rsidR="003B686D" w:rsidRPr="003B686D" w:rsidRDefault="003B686D" w:rsidP="00C9421A">
            <w:pPr>
              <w:spacing w:before="200" w:after="100" w:line="240" w:lineRule="auto"/>
              <w:ind w:left="960" w:hanging="960"/>
              <w:rPr>
                <w:rFonts w:ascii="Arial" w:eastAsia="Times New Roman" w:hAnsi="Arial" w:cs="Arial"/>
                <w:sz w:val="18"/>
                <w:szCs w:val="18"/>
              </w:rPr>
            </w:pPr>
            <w:r w:rsidRPr="003B686D">
              <w:rPr>
                <w:rFonts w:ascii="Arial" w:eastAsia="Times New Roman" w:hAnsi="Arial" w:cs="Arial"/>
                <w:sz w:val="18"/>
                <w:szCs w:val="18"/>
              </w:rPr>
              <w:t>K = Conversion factor, 7,000 grains per pound.</w:t>
            </w:r>
          </w:p>
          <w:p w:rsidR="003B686D" w:rsidRPr="003B686D" w:rsidRDefault="003B686D" w:rsidP="00455252">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lastRenderedPageBreak/>
              <w:t xml:space="preserve">(6) If you own or operate an existing affected source that is subject to the emissions limits in paragraph (b) or (c) of this section, you may certify initial compliance with the applicable emission limit for one or more emissions sources based on the results of a previous performance test for that emissions source in lieu of the requirement for an initial performance test provided that the test(s) were conducted within 5 years of the compliance date using the methods and procedures specified in paragraph (d)(1) or (2) of this section; the test(s) were for the affected facility; and the test(s) were representative of current or anticipated operating processes and conditions. Should the permitting authority deem the prior test data unacceptable to demonstrate compliance with an applicable emissions limit, the owner or operator must conduct an initial performance test within 180 days of the compliance date or within 90 days of receipt of the notification of disapproval of the prior test, whichever is </w:t>
            </w:r>
            <w:proofErr w:type="gramStart"/>
            <w:r w:rsidRPr="003B686D">
              <w:rPr>
                <w:rFonts w:ascii="Arial" w:eastAsia="Times New Roman" w:hAnsi="Arial" w:cs="Arial"/>
                <w:sz w:val="20"/>
              </w:rPr>
              <w:t>later.</w:t>
            </w:r>
            <w:proofErr w:type="gramEnd"/>
          </w:p>
          <w:p w:rsidR="003B686D" w:rsidRPr="003B686D" w:rsidRDefault="003B686D" w:rsidP="003B686D">
            <w:pPr>
              <w:spacing w:before="200" w:after="100" w:afterAutospacing="1" w:line="240" w:lineRule="auto"/>
              <w:rPr>
                <w:rFonts w:ascii="Arial" w:eastAsia="Times New Roman" w:hAnsi="Arial" w:cs="Arial"/>
                <w:sz w:val="20"/>
              </w:rPr>
            </w:pPr>
            <w:hyperlink r:id="rId23" w:anchor="_top" w:history="1">
              <w:r>
                <w:rPr>
                  <w:rFonts w:ascii="Arial" w:eastAsia="Times New Roman" w:hAnsi="Arial" w:cs="Arial"/>
                  <w:noProof/>
                  <w:color w:val="0000FF"/>
                  <w:sz w:val="17"/>
                  <w:szCs w:val="17"/>
                </w:rPr>
                <w:drawing>
                  <wp:inline distT="0" distB="0" distL="0" distR="0">
                    <wp:extent cx="152400" cy="152400"/>
                    <wp:effectExtent l="0" t="0" r="0" b="0"/>
                    <wp:docPr id="10" name="Picture 10" descr="return arrow">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16"/>
                            </pic:cNvPr>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B686D">
                <w:rPr>
                  <w:rFonts w:ascii="Arial" w:eastAsia="Times New Roman" w:hAnsi="Arial" w:cs="Arial"/>
                  <w:color w:val="0000FF"/>
                  <w:sz w:val="17"/>
                </w:rPr>
                <w:t>Back to Top</w:t>
              </w:r>
            </w:hyperlink>
          </w:p>
          <w:p w:rsidR="003B686D" w:rsidRPr="003B686D" w:rsidRDefault="003B686D" w:rsidP="003B686D">
            <w:pPr>
              <w:spacing w:before="200" w:after="100" w:line="240" w:lineRule="auto"/>
              <w:outlineLvl w:val="1"/>
              <w:rPr>
                <w:rFonts w:ascii="Arial" w:eastAsia="Times New Roman" w:hAnsi="Arial" w:cs="Arial"/>
                <w:b/>
                <w:bCs/>
                <w:smallCaps/>
                <w:sz w:val="27"/>
                <w:szCs w:val="27"/>
              </w:rPr>
            </w:pPr>
            <w:bookmarkStart w:id="6" w:name="40:15.0.1.1.1.12.225"/>
            <w:bookmarkEnd w:id="6"/>
            <w:r w:rsidRPr="003B686D">
              <w:rPr>
                <w:rFonts w:ascii="Arial" w:eastAsia="Times New Roman" w:hAnsi="Arial" w:cs="Arial"/>
                <w:b/>
                <w:bCs/>
                <w:smallCaps/>
                <w:sz w:val="27"/>
                <w:szCs w:val="27"/>
              </w:rPr>
              <w:t>Other Information and Requirements</w:t>
            </w:r>
          </w:p>
          <w:p w:rsidR="003B686D" w:rsidRPr="003B686D" w:rsidRDefault="003B686D" w:rsidP="003B686D">
            <w:pPr>
              <w:spacing w:before="200" w:after="100" w:afterAutospacing="1" w:line="240" w:lineRule="auto"/>
              <w:rPr>
                <w:rFonts w:ascii="Arial" w:eastAsia="Times New Roman" w:hAnsi="Arial" w:cs="Arial"/>
                <w:sz w:val="20"/>
              </w:rPr>
            </w:pPr>
            <w:hyperlink r:id="rId24" w:anchor="_top" w:history="1">
              <w:r>
                <w:rPr>
                  <w:rFonts w:ascii="Arial" w:eastAsia="Times New Roman" w:hAnsi="Arial" w:cs="Arial"/>
                  <w:noProof/>
                  <w:color w:val="0000FF"/>
                  <w:sz w:val="17"/>
                  <w:szCs w:val="17"/>
                </w:rPr>
                <w:drawing>
                  <wp:inline distT="0" distB="0" distL="0" distR="0">
                    <wp:extent cx="152400" cy="152400"/>
                    <wp:effectExtent l="0" t="0" r="0" b="0"/>
                    <wp:docPr id="11" name="Picture 11" descr="return arrow">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16"/>
                            </pic:cNvPr>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B686D">
                <w:rPr>
                  <w:rFonts w:ascii="Arial" w:eastAsia="Times New Roman" w:hAnsi="Arial" w:cs="Arial"/>
                  <w:color w:val="0000FF"/>
                  <w:sz w:val="17"/>
                </w:rPr>
                <w:t>Back to Top</w:t>
              </w:r>
            </w:hyperlink>
          </w:p>
          <w:p w:rsidR="003B686D" w:rsidRPr="003B686D" w:rsidRDefault="003B686D" w:rsidP="00455252">
            <w:pPr>
              <w:spacing w:before="200" w:after="100" w:line="240" w:lineRule="auto"/>
              <w:outlineLvl w:val="1"/>
              <w:rPr>
                <w:rFonts w:ascii="Arial" w:eastAsia="Times New Roman" w:hAnsi="Arial" w:cs="Arial"/>
                <w:b/>
                <w:bCs/>
                <w:sz w:val="20"/>
              </w:rPr>
            </w:pPr>
            <w:bookmarkStart w:id="7" w:name="40:15.0.1.1.1.12.225.5"/>
            <w:bookmarkEnd w:id="7"/>
            <w:r w:rsidRPr="003B686D">
              <w:rPr>
                <w:rFonts w:ascii="Arial" w:eastAsia="Times New Roman" w:hAnsi="Arial" w:cs="Arial"/>
                <w:b/>
                <w:bCs/>
                <w:sz w:val="20"/>
              </w:rPr>
              <w:t>§63.10690   What parts of the General Provisions apply to this subpart?</w:t>
            </w:r>
          </w:p>
          <w:p w:rsidR="003B686D" w:rsidRPr="003B686D" w:rsidRDefault="003B686D" w:rsidP="00F16C7A">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(a) You must comply with the requirements of the NESHAP General Provisions (40 CFR part 63, subpart A) as provided in Table 1 of this subpart.</w:t>
            </w:r>
          </w:p>
          <w:p w:rsidR="003B686D" w:rsidRPr="003B686D" w:rsidRDefault="003B686D" w:rsidP="00F16C7A">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(b) The notification of compliance status required by §63.9(h) must include each applicable certification of compliance, signed by a responsible official, in paragraphs (b)(1) through (6) of this section.</w:t>
            </w:r>
          </w:p>
          <w:p w:rsidR="003B686D" w:rsidRPr="003B686D" w:rsidRDefault="003B686D" w:rsidP="00455252">
            <w:pPr>
              <w:spacing w:before="100" w:beforeAutospacing="1" w:after="100" w:afterAutospacing="1" w:line="240" w:lineRule="auto"/>
              <w:ind w:firstLine="480"/>
              <w:rPr>
                <w:rFonts w:ascii="Arial" w:eastAsia="Times New Roman" w:hAnsi="Arial" w:cs="Arial"/>
                <w:sz w:val="20"/>
              </w:rPr>
            </w:pPr>
            <w:r w:rsidRPr="003B686D">
              <w:rPr>
                <w:rFonts w:ascii="Arial" w:eastAsia="Times New Roman" w:hAnsi="Arial" w:cs="Arial"/>
                <w:sz w:val="20"/>
              </w:rPr>
              <w:t>(1) For the pollution prevention plan requirements in §63.10685(a)(1): “This facility has submitted a pollution prevention plan for metallic scrap selection and inspection in accordance with §63.10685(a)(1)”;</w:t>
            </w:r>
          </w:p>
          <w:p w:rsidR="003B686D" w:rsidRPr="003B686D" w:rsidRDefault="003B686D" w:rsidP="00455252">
            <w:pPr>
              <w:spacing w:before="100" w:beforeAutospacing="1" w:after="100" w:afterAutospacing="1" w:line="240" w:lineRule="auto"/>
              <w:ind w:firstLine="480"/>
              <w:rPr>
                <w:rFonts w:ascii="Arial" w:eastAsia="Times New Roman" w:hAnsi="Arial" w:cs="Arial"/>
                <w:sz w:val="20"/>
              </w:rPr>
            </w:pPr>
            <w:r w:rsidRPr="003B686D">
              <w:rPr>
                <w:rFonts w:ascii="Arial" w:eastAsia="Times New Roman" w:hAnsi="Arial" w:cs="Arial"/>
                <w:sz w:val="20"/>
              </w:rPr>
              <w:t>(2) For the restrictions on metallic scrap in §63.10685(a)(2): “This facility complies with the requirements for restricted metallic scrap in accordance with §63.10685(a)(2)”;</w:t>
            </w:r>
          </w:p>
          <w:p w:rsidR="003B686D" w:rsidRPr="003B686D" w:rsidRDefault="003B686D" w:rsidP="00455252">
            <w:pPr>
              <w:spacing w:before="100" w:beforeAutospacing="1" w:after="100" w:afterAutospacing="1" w:line="240" w:lineRule="auto"/>
              <w:ind w:firstLine="480"/>
              <w:rPr>
                <w:rFonts w:ascii="Arial" w:eastAsia="Times New Roman" w:hAnsi="Arial" w:cs="Arial"/>
                <w:sz w:val="20"/>
              </w:rPr>
            </w:pPr>
            <w:r w:rsidRPr="003B686D">
              <w:rPr>
                <w:rFonts w:ascii="Arial" w:eastAsia="Times New Roman" w:hAnsi="Arial" w:cs="Arial"/>
                <w:sz w:val="20"/>
              </w:rPr>
              <w:t>(3) For the mercury requirements in §63.10685(b):</w:t>
            </w:r>
          </w:p>
          <w:p w:rsidR="003B686D" w:rsidRPr="003B686D" w:rsidRDefault="003B686D" w:rsidP="00455252">
            <w:pPr>
              <w:spacing w:before="100" w:beforeAutospacing="1" w:after="100" w:afterAutospacing="1" w:line="240" w:lineRule="auto"/>
              <w:ind w:firstLine="480"/>
              <w:rPr>
                <w:rFonts w:ascii="Arial" w:eastAsia="Times New Roman" w:hAnsi="Arial" w:cs="Arial"/>
                <w:sz w:val="20"/>
              </w:rPr>
            </w:pPr>
            <w:r w:rsidRPr="003B686D">
              <w:rPr>
                <w:rFonts w:ascii="Arial" w:eastAsia="Times New Roman" w:hAnsi="Arial" w:cs="Arial"/>
                <w:sz w:val="20"/>
              </w:rPr>
              <w:t>(i) “This facility has prepared a site-specific plan for mercury switches in accordance with §63.10685(b)(1)”;</w:t>
            </w:r>
          </w:p>
          <w:p w:rsidR="003B686D" w:rsidRPr="003B686D" w:rsidRDefault="003B686D" w:rsidP="00455252">
            <w:pPr>
              <w:spacing w:before="100" w:beforeAutospacing="1" w:after="100" w:afterAutospacing="1" w:line="240" w:lineRule="auto"/>
              <w:ind w:firstLine="480"/>
              <w:rPr>
                <w:rFonts w:ascii="Arial" w:eastAsia="Times New Roman" w:hAnsi="Arial" w:cs="Arial"/>
                <w:sz w:val="20"/>
              </w:rPr>
            </w:pPr>
            <w:r w:rsidRPr="003B686D">
              <w:rPr>
                <w:rFonts w:ascii="Arial" w:eastAsia="Times New Roman" w:hAnsi="Arial" w:cs="Arial"/>
                <w:sz w:val="20"/>
              </w:rPr>
              <w:t>(ii) “This facility participates in and purchases motor vehicle scrap only from scrap providers who participate in a program for removal of mercury switches that has been approved by the EPA Administrator in accordance with §63.10685(b)(2)” and has prepared a plan demonstrating how the facility participates in the EPA-approved program in accordance with §63.10685(b)(2)(iv);</w:t>
            </w:r>
          </w:p>
          <w:p w:rsidR="003B686D" w:rsidRPr="003B686D" w:rsidRDefault="003B686D" w:rsidP="00455252">
            <w:pPr>
              <w:spacing w:before="100" w:beforeAutospacing="1" w:after="100" w:afterAutospacing="1" w:line="240" w:lineRule="auto"/>
              <w:ind w:firstLine="480"/>
              <w:rPr>
                <w:rFonts w:ascii="Arial" w:eastAsia="Times New Roman" w:hAnsi="Arial" w:cs="Arial"/>
                <w:sz w:val="20"/>
              </w:rPr>
            </w:pPr>
            <w:r w:rsidRPr="003B686D">
              <w:rPr>
                <w:rFonts w:ascii="Arial" w:eastAsia="Times New Roman" w:hAnsi="Arial" w:cs="Arial"/>
                <w:sz w:val="20"/>
              </w:rPr>
              <w:t>(iii) “The only materials from motor vehicles in the scrap charged to an electric arc furnace at this facility are materials recovered for their specialty alloy content in accordance with §63.10685(b)(3) which are not reasonably expected to contain mercury switches”; or</w:t>
            </w:r>
          </w:p>
          <w:p w:rsidR="003B686D" w:rsidRPr="003B686D" w:rsidRDefault="003B686D" w:rsidP="00455252">
            <w:pPr>
              <w:spacing w:before="100" w:beforeAutospacing="1" w:after="100" w:afterAutospacing="1" w:line="240" w:lineRule="auto"/>
              <w:ind w:firstLine="480"/>
              <w:rPr>
                <w:rFonts w:ascii="Arial" w:eastAsia="Times New Roman" w:hAnsi="Arial" w:cs="Arial"/>
                <w:sz w:val="20"/>
              </w:rPr>
            </w:pPr>
            <w:r w:rsidRPr="003B686D">
              <w:rPr>
                <w:rFonts w:ascii="Arial" w:eastAsia="Times New Roman" w:hAnsi="Arial" w:cs="Arial"/>
                <w:sz w:val="20"/>
              </w:rPr>
              <w:t>(iv) “This facility complies with the requirements for scrap that does not contain motor vehicle scrap in accordance with §63.10685(b</w:t>
            </w:r>
            <w:proofErr w:type="gramStart"/>
            <w:r w:rsidRPr="003B686D">
              <w:rPr>
                <w:rFonts w:ascii="Arial" w:eastAsia="Times New Roman" w:hAnsi="Arial" w:cs="Arial"/>
                <w:sz w:val="20"/>
              </w:rPr>
              <w:t>)(</w:t>
            </w:r>
            <w:proofErr w:type="gramEnd"/>
            <w:r w:rsidRPr="003B686D">
              <w:rPr>
                <w:rFonts w:ascii="Arial" w:eastAsia="Times New Roman" w:hAnsi="Arial" w:cs="Arial"/>
                <w:sz w:val="20"/>
              </w:rPr>
              <w:t>4).”</w:t>
            </w:r>
          </w:p>
          <w:p w:rsidR="003B686D" w:rsidRPr="003B686D" w:rsidRDefault="003B686D" w:rsidP="00455252">
            <w:pPr>
              <w:spacing w:before="100" w:beforeAutospacing="1" w:after="100" w:afterAutospacing="1" w:line="240" w:lineRule="auto"/>
              <w:ind w:firstLine="480"/>
              <w:rPr>
                <w:rFonts w:ascii="Arial" w:eastAsia="Times New Roman" w:hAnsi="Arial" w:cs="Arial"/>
                <w:sz w:val="20"/>
              </w:rPr>
            </w:pPr>
            <w:r w:rsidRPr="003B686D">
              <w:rPr>
                <w:rFonts w:ascii="Arial" w:eastAsia="Times New Roman" w:hAnsi="Arial" w:cs="Arial"/>
                <w:sz w:val="20"/>
              </w:rPr>
              <w:t>(4) This certification of compliance for the capture system requirements in §63.10686(a), signed by a responsible official: “This facility operates a capture system for each electric arc furnace and argon-</w:t>
            </w:r>
            <w:r w:rsidRPr="003B686D">
              <w:rPr>
                <w:rFonts w:ascii="Arial" w:eastAsia="Times New Roman" w:hAnsi="Arial" w:cs="Arial"/>
                <w:sz w:val="20"/>
              </w:rPr>
              <w:lastRenderedPageBreak/>
              <w:t>oxygen decarburization vessel that conveys the collected emissions to a PM control device in accordance with §63.10686(a)”.</w:t>
            </w:r>
          </w:p>
          <w:p w:rsidR="003B686D" w:rsidRPr="003B686D" w:rsidRDefault="003B686D" w:rsidP="00455252">
            <w:pPr>
              <w:spacing w:before="100" w:beforeAutospacing="1" w:after="100" w:afterAutospacing="1" w:line="240" w:lineRule="auto"/>
              <w:ind w:firstLine="480"/>
              <w:rPr>
                <w:rFonts w:ascii="Arial" w:eastAsia="Times New Roman" w:hAnsi="Arial" w:cs="Arial"/>
                <w:sz w:val="20"/>
              </w:rPr>
            </w:pPr>
            <w:r w:rsidRPr="003B686D">
              <w:rPr>
                <w:rFonts w:ascii="Arial" w:eastAsia="Times New Roman" w:hAnsi="Arial" w:cs="Arial"/>
                <w:sz w:val="20"/>
              </w:rPr>
              <w:t>(5) If applicable, this certification of compliance for the performance test requirements in §63.10686(d</w:t>
            </w:r>
            <w:proofErr w:type="gramStart"/>
            <w:r w:rsidRPr="003B686D">
              <w:rPr>
                <w:rFonts w:ascii="Arial" w:eastAsia="Times New Roman" w:hAnsi="Arial" w:cs="Arial"/>
                <w:sz w:val="20"/>
              </w:rPr>
              <w:t>)(</w:t>
            </w:r>
            <w:proofErr w:type="gramEnd"/>
            <w:r w:rsidRPr="003B686D">
              <w:rPr>
                <w:rFonts w:ascii="Arial" w:eastAsia="Times New Roman" w:hAnsi="Arial" w:cs="Arial"/>
                <w:sz w:val="20"/>
              </w:rPr>
              <w:t>6): “This facility certifies initial compliance with the applicable emissions limit in §63.10686(a) or (b) based on the results of a previous performance test in accordance with §63.10686(d)(6)”.</w:t>
            </w:r>
          </w:p>
          <w:p w:rsidR="003B686D" w:rsidRPr="003B686D" w:rsidRDefault="003B686D" w:rsidP="00455252">
            <w:pPr>
              <w:spacing w:before="100" w:beforeAutospacing="1" w:after="100" w:afterAutospacing="1" w:line="240" w:lineRule="auto"/>
              <w:ind w:firstLine="480"/>
              <w:rPr>
                <w:rFonts w:ascii="Arial" w:eastAsia="Times New Roman" w:hAnsi="Arial" w:cs="Arial"/>
                <w:sz w:val="20"/>
              </w:rPr>
            </w:pPr>
            <w:r w:rsidRPr="003B686D">
              <w:rPr>
                <w:rFonts w:ascii="Arial" w:eastAsia="Times New Roman" w:hAnsi="Arial" w:cs="Arial"/>
                <w:sz w:val="20"/>
              </w:rPr>
              <w:t xml:space="preserve">(6) This certification of compliance for the monitoring requirements in §63.10686(e), signed by a responsible official: “This facility has developed and submitted proposed monitoring information in accordance with 40 CFR part 64”. </w:t>
            </w:r>
          </w:p>
          <w:p w:rsidR="003B686D" w:rsidRPr="003B686D" w:rsidRDefault="003B686D" w:rsidP="00455252">
            <w:pPr>
              <w:spacing w:before="200" w:after="100" w:afterAutospacing="1" w:line="240" w:lineRule="auto"/>
              <w:rPr>
                <w:rFonts w:ascii="Arial" w:eastAsia="Times New Roman" w:hAnsi="Arial" w:cs="Arial"/>
                <w:sz w:val="20"/>
              </w:rPr>
            </w:pPr>
            <w:hyperlink r:id="rId25" w:anchor="_top" w:history="1">
              <w:r>
                <w:rPr>
                  <w:rFonts w:ascii="Arial" w:eastAsia="Times New Roman" w:hAnsi="Arial" w:cs="Arial"/>
                  <w:noProof/>
                  <w:color w:val="0000FF"/>
                  <w:sz w:val="17"/>
                  <w:szCs w:val="17"/>
                </w:rPr>
                <w:drawing>
                  <wp:inline distT="0" distB="0" distL="0" distR="0">
                    <wp:extent cx="152400" cy="152400"/>
                    <wp:effectExtent l="0" t="0" r="0" b="0"/>
                    <wp:docPr id="12" name="Picture 12" descr="return arrow">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16"/>
                            </pic:cNvPr>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B686D">
                <w:rPr>
                  <w:rFonts w:ascii="Arial" w:eastAsia="Times New Roman" w:hAnsi="Arial" w:cs="Arial"/>
                  <w:color w:val="0000FF"/>
                  <w:sz w:val="17"/>
                </w:rPr>
                <w:t>Back to Top</w:t>
              </w:r>
            </w:hyperlink>
          </w:p>
          <w:p w:rsidR="003B686D" w:rsidRPr="003B686D" w:rsidRDefault="003B686D" w:rsidP="003B686D">
            <w:pPr>
              <w:spacing w:before="200" w:after="100" w:line="240" w:lineRule="auto"/>
              <w:outlineLvl w:val="1"/>
              <w:rPr>
                <w:rFonts w:ascii="Arial" w:eastAsia="Times New Roman" w:hAnsi="Arial" w:cs="Arial"/>
                <w:b/>
                <w:bCs/>
                <w:sz w:val="20"/>
              </w:rPr>
            </w:pPr>
            <w:bookmarkStart w:id="8" w:name="40:15.0.1.1.1.12.225.6"/>
            <w:bookmarkEnd w:id="8"/>
            <w:r w:rsidRPr="003B686D">
              <w:rPr>
                <w:rFonts w:ascii="Arial" w:eastAsia="Times New Roman" w:hAnsi="Arial" w:cs="Arial"/>
                <w:b/>
                <w:bCs/>
                <w:sz w:val="20"/>
              </w:rPr>
              <w:t>§63.10691   Who implements and enforces this subpart?</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(a) This subpart can be implemented and enforced by the EPA or a delegated authority such as a State, local, or tribal agency. If the EPA Administrator has delegated authority to a State, local, or tribal agency, then that Agency has the authority to implement and enforce this subpart. You should contact your EPA Regional Office to find out if this subpart is delegated to your State, local, or tribal agency.</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(b) In delegating implementation and enforcement authority of this subpart to a State, local, or tribal agency under 40 CFR part 63, subpart E, the authorities contained in paragraph (c) of this section are retained by the Administrator and are not transferred to the State, local, or tribal agency.</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(c) The authorities that will not be delegated to State, local, or tribal agencies are listed in paragraphs (c</w:t>
            </w:r>
            <w:proofErr w:type="gramStart"/>
            <w:r w:rsidRPr="003B686D">
              <w:rPr>
                <w:rFonts w:ascii="Arial" w:eastAsia="Times New Roman" w:hAnsi="Arial" w:cs="Arial"/>
                <w:sz w:val="20"/>
              </w:rPr>
              <w:t>)(</w:t>
            </w:r>
            <w:proofErr w:type="gramEnd"/>
            <w:r w:rsidRPr="003B686D">
              <w:rPr>
                <w:rFonts w:ascii="Arial" w:eastAsia="Times New Roman" w:hAnsi="Arial" w:cs="Arial"/>
                <w:sz w:val="20"/>
              </w:rPr>
              <w:t>1) through (6) of this section.</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(1) Approval of an alternative non-opacity emissions standard under 40 CFR 63.6(g).</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(2) Approval of an alternative opacity emissions standard under §63.6(h</w:t>
            </w:r>
            <w:proofErr w:type="gramStart"/>
            <w:r w:rsidRPr="003B686D">
              <w:rPr>
                <w:rFonts w:ascii="Arial" w:eastAsia="Times New Roman" w:hAnsi="Arial" w:cs="Arial"/>
                <w:sz w:val="20"/>
              </w:rPr>
              <w:t>)(</w:t>
            </w:r>
            <w:proofErr w:type="gramEnd"/>
            <w:r w:rsidRPr="003B686D">
              <w:rPr>
                <w:rFonts w:ascii="Arial" w:eastAsia="Times New Roman" w:hAnsi="Arial" w:cs="Arial"/>
                <w:sz w:val="20"/>
              </w:rPr>
              <w:t>9).</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(3) Approval of a major change to test methods under §63.7(e</w:t>
            </w:r>
            <w:proofErr w:type="gramStart"/>
            <w:r w:rsidRPr="003B686D">
              <w:rPr>
                <w:rFonts w:ascii="Arial" w:eastAsia="Times New Roman" w:hAnsi="Arial" w:cs="Arial"/>
                <w:sz w:val="20"/>
              </w:rPr>
              <w:t>)(</w:t>
            </w:r>
            <w:proofErr w:type="gramEnd"/>
            <w:r w:rsidRPr="003B686D">
              <w:rPr>
                <w:rFonts w:ascii="Arial" w:eastAsia="Times New Roman" w:hAnsi="Arial" w:cs="Arial"/>
                <w:sz w:val="20"/>
              </w:rPr>
              <w:t>2)(ii) and (f). A “major change to test method” is defined in 40 CFR 63.90.</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(4) Approval of major change to monitoring under 40 CFR 63.8(f). A “major change to monitoring” is defined in 40 CFR 63.90.</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(5) Approval of a major change to recordkeeping/reporting under 40 CFR 63.10(f). A “major change to recordkeeping/reporting” is defined in 40 CFR 63.90.</w:t>
            </w:r>
          </w:p>
          <w:p w:rsidR="003B686D" w:rsidRPr="003B686D" w:rsidRDefault="003B686D" w:rsidP="00455252">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(6) Approval of a program for the removal of mercury switches under §63.10685(b</w:t>
            </w:r>
            <w:proofErr w:type="gramStart"/>
            <w:r w:rsidRPr="003B686D">
              <w:rPr>
                <w:rFonts w:ascii="Arial" w:eastAsia="Times New Roman" w:hAnsi="Arial" w:cs="Arial"/>
                <w:sz w:val="20"/>
              </w:rPr>
              <w:t>)(</w:t>
            </w:r>
            <w:proofErr w:type="gramEnd"/>
            <w:r w:rsidRPr="003B686D">
              <w:rPr>
                <w:rFonts w:ascii="Arial" w:eastAsia="Times New Roman" w:hAnsi="Arial" w:cs="Arial"/>
                <w:sz w:val="20"/>
              </w:rPr>
              <w:t xml:space="preserve">2). </w:t>
            </w:r>
          </w:p>
          <w:p w:rsidR="003B686D" w:rsidRPr="003B686D" w:rsidRDefault="003B686D" w:rsidP="003B686D">
            <w:pPr>
              <w:spacing w:before="200" w:after="100" w:afterAutospacing="1" w:line="240" w:lineRule="auto"/>
              <w:rPr>
                <w:rFonts w:ascii="Arial" w:eastAsia="Times New Roman" w:hAnsi="Arial" w:cs="Arial"/>
                <w:sz w:val="20"/>
              </w:rPr>
            </w:pPr>
            <w:hyperlink r:id="rId26" w:anchor="_top" w:history="1">
              <w:r>
                <w:rPr>
                  <w:rFonts w:ascii="Arial" w:eastAsia="Times New Roman" w:hAnsi="Arial" w:cs="Arial"/>
                  <w:noProof/>
                  <w:color w:val="0000FF"/>
                  <w:sz w:val="17"/>
                  <w:szCs w:val="17"/>
                </w:rPr>
                <w:drawing>
                  <wp:inline distT="0" distB="0" distL="0" distR="0">
                    <wp:extent cx="152400" cy="152400"/>
                    <wp:effectExtent l="0" t="0" r="0" b="0"/>
                    <wp:docPr id="13" name="Picture 13" descr="return arrow">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16"/>
                            </pic:cNvPr>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B686D">
                <w:rPr>
                  <w:rFonts w:ascii="Arial" w:eastAsia="Times New Roman" w:hAnsi="Arial" w:cs="Arial"/>
                  <w:color w:val="0000FF"/>
                  <w:sz w:val="17"/>
                </w:rPr>
                <w:t>Back to Top</w:t>
              </w:r>
            </w:hyperlink>
          </w:p>
          <w:p w:rsidR="003B686D" w:rsidRPr="003B686D" w:rsidRDefault="003B686D" w:rsidP="003B686D">
            <w:pPr>
              <w:spacing w:before="200" w:after="100" w:line="240" w:lineRule="auto"/>
              <w:outlineLvl w:val="1"/>
              <w:rPr>
                <w:rFonts w:ascii="Arial" w:eastAsia="Times New Roman" w:hAnsi="Arial" w:cs="Arial"/>
                <w:b/>
                <w:bCs/>
                <w:sz w:val="20"/>
              </w:rPr>
            </w:pPr>
            <w:bookmarkStart w:id="9" w:name="40:15.0.1.1.1.12.225.7"/>
            <w:bookmarkEnd w:id="9"/>
            <w:r w:rsidRPr="003B686D">
              <w:rPr>
                <w:rFonts w:ascii="Arial" w:eastAsia="Times New Roman" w:hAnsi="Arial" w:cs="Arial"/>
                <w:b/>
                <w:bCs/>
                <w:sz w:val="20"/>
              </w:rPr>
              <w:t>§63.10692   What definitions apply to this subpart?</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Terms used in this subpart are defined in the Clean Air Act, in §63.2, and in this section as follows:</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i/>
                <w:iCs/>
                <w:sz w:val="20"/>
              </w:rPr>
              <w:t>Argon-oxygen decarburization (AOD) vessel</w:t>
            </w:r>
            <w:r w:rsidRPr="003B686D">
              <w:rPr>
                <w:rFonts w:ascii="Arial" w:eastAsia="Times New Roman" w:hAnsi="Arial" w:cs="Arial"/>
                <w:sz w:val="20"/>
              </w:rPr>
              <w:t xml:space="preserve"> means any closed-bottom, refractory-lined converter vessel with submerged tuyeres through which gaseous mixtures containing argon and oxygen or nitrogen may </w:t>
            </w:r>
            <w:r w:rsidRPr="003B686D">
              <w:rPr>
                <w:rFonts w:ascii="Arial" w:eastAsia="Times New Roman" w:hAnsi="Arial" w:cs="Arial"/>
                <w:sz w:val="20"/>
              </w:rPr>
              <w:lastRenderedPageBreak/>
              <w:t>be blown into molten steel for further refining.</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i/>
                <w:iCs/>
                <w:sz w:val="20"/>
              </w:rPr>
              <w:t>Capture system</w:t>
            </w:r>
            <w:r w:rsidRPr="003B686D">
              <w:rPr>
                <w:rFonts w:ascii="Arial" w:eastAsia="Times New Roman" w:hAnsi="Arial" w:cs="Arial"/>
                <w:sz w:val="20"/>
              </w:rPr>
              <w:t xml:space="preserve"> means the equipment (including ducts, hoods, fans, dampers, etc.) used to capture or transport emissions generated by an electric arc furnace or argon-oxygen decarburization vessel to the air pollution control device.</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i/>
                <w:iCs/>
                <w:sz w:val="20"/>
              </w:rPr>
              <w:t>Chlorinated plastics</w:t>
            </w:r>
            <w:r w:rsidRPr="003B686D">
              <w:rPr>
                <w:rFonts w:ascii="Arial" w:eastAsia="Times New Roman" w:hAnsi="Arial" w:cs="Arial"/>
                <w:sz w:val="20"/>
              </w:rPr>
              <w:t xml:space="preserve"> means solid polymeric materials that contain chlorine in the polymer chain, such as polyvinyl chloride (PVC) and PVC copolymers.</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i/>
                <w:iCs/>
                <w:sz w:val="20"/>
              </w:rPr>
              <w:t>Control device</w:t>
            </w:r>
            <w:r w:rsidRPr="003B686D">
              <w:rPr>
                <w:rFonts w:ascii="Arial" w:eastAsia="Times New Roman" w:hAnsi="Arial" w:cs="Arial"/>
                <w:sz w:val="20"/>
              </w:rPr>
              <w:t xml:space="preserve"> means the air pollution control equipment used to remove particulate matter from the effluent gas stream generated by an electric arc furnace or argon-oxygen decarburization vessel.</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i/>
                <w:iCs/>
                <w:sz w:val="20"/>
              </w:rPr>
              <w:t>Deviation</w:t>
            </w:r>
            <w:r w:rsidRPr="003B686D">
              <w:rPr>
                <w:rFonts w:ascii="Arial" w:eastAsia="Times New Roman" w:hAnsi="Arial" w:cs="Arial"/>
                <w:sz w:val="20"/>
              </w:rPr>
              <w:t xml:space="preserve"> means any instance where an affected source subject to this subpart, or an owner or operator of such a source:</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(1) Fails to meet any requirement or obligation established by this subpart, including but not limited to any emissions limitation or work practice standard;</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(2) Fails to meet any term or condition that is adopted to implement an applicable requirement in this subpart and that is included in the operating permit for any affected source required to obtain such a permit; or</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sz w:val="20"/>
              </w:rPr>
              <w:t>(3) Fails to meet any emissions limitation in this subpart during startup, shutdown, or malfunction, regardless of whether or not such failure is permitted by this subpart.</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i/>
                <w:iCs/>
                <w:sz w:val="20"/>
              </w:rPr>
              <w:t>Electric arc furnace (EAF)</w:t>
            </w:r>
            <w:r w:rsidRPr="003B686D">
              <w:rPr>
                <w:rFonts w:ascii="Arial" w:eastAsia="Times New Roman" w:hAnsi="Arial" w:cs="Arial"/>
                <w:sz w:val="20"/>
              </w:rPr>
              <w:t xml:space="preserve"> means a furnace that produces molten steel and heats the charge materials with electric arcs from carbon electrodes. An electric arc furnace consists of the furnace shell, roof, and the transformer.</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i/>
                <w:iCs/>
                <w:sz w:val="20"/>
              </w:rPr>
              <w:t>Electric arc furnace (EAF) steelmaking facility</w:t>
            </w:r>
            <w:r w:rsidRPr="003B686D">
              <w:rPr>
                <w:rFonts w:ascii="Arial" w:eastAsia="Times New Roman" w:hAnsi="Arial" w:cs="Arial"/>
                <w:sz w:val="20"/>
              </w:rPr>
              <w:t xml:space="preserve"> means a steel plant that produces carbon, alloy, or specialty steels using an EAF. This definition excludes EAF steelmaking facilities at steel foundries and EAF facilities used to produce nonferrous metals.</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i/>
                <w:iCs/>
                <w:sz w:val="20"/>
              </w:rPr>
              <w:t>Free organic liquids</w:t>
            </w:r>
            <w:r w:rsidRPr="003B686D">
              <w:rPr>
                <w:rFonts w:ascii="Arial" w:eastAsia="Times New Roman" w:hAnsi="Arial" w:cs="Arial"/>
                <w:sz w:val="20"/>
              </w:rPr>
              <w:t xml:space="preserve"> means material that fails the paint filter test by EPA Method 9095B, (revision 2, dated November 1994) (incorporated by reference—see §63.14) after accounting for water using a moisture determination test by ASTM Method D2216-05 (incorporated by reference—see §63.14). If, after conducting a moisture determination test, if any portion of the material passes through and drops from the filter within the 5-minute test period, the material contains </w:t>
            </w:r>
            <w:r w:rsidRPr="003B686D">
              <w:rPr>
                <w:rFonts w:ascii="Arial" w:eastAsia="Times New Roman" w:hAnsi="Arial" w:cs="Arial"/>
                <w:i/>
                <w:iCs/>
                <w:sz w:val="20"/>
              </w:rPr>
              <w:t>free organic liquids</w:t>
            </w:r>
            <w:r w:rsidRPr="003B686D">
              <w:rPr>
                <w:rFonts w:ascii="Arial" w:eastAsia="Times New Roman" w:hAnsi="Arial" w:cs="Arial"/>
                <w:sz w:val="20"/>
              </w:rPr>
              <w:t>.</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i/>
                <w:iCs/>
                <w:sz w:val="20"/>
              </w:rPr>
              <w:t>Leaded steel</w:t>
            </w:r>
            <w:r w:rsidRPr="003B686D">
              <w:rPr>
                <w:rFonts w:ascii="Arial" w:eastAsia="Times New Roman" w:hAnsi="Arial" w:cs="Arial"/>
                <w:sz w:val="20"/>
              </w:rPr>
              <w:t xml:space="preserve"> means steel that must meet a minimum specification for lead content (typically 0.25 percent or more) and for which lead is a necessary alloy for that grade of steel.</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i/>
                <w:iCs/>
                <w:sz w:val="20"/>
              </w:rPr>
              <w:t>Mercury switch</w:t>
            </w:r>
            <w:r w:rsidRPr="003B686D">
              <w:rPr>
                <w:rFonts w:ascii="Arial" w:eastAsia="Times New Roman" w:hAnsi="Arial" w:cs="Arial"/>
                <w:sz w:val="20"/>
              </w:rPr>
              <w:t xml:space="preserve"> means each mercury-containing capsule or switch assembly that is part of a convenience light switch mechanism installed in a vehicle.</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i/>
                <w:iCs/>
                <w:sz w:val="20"/>
              </w:rPr>
              <w:t>Motor vehicle</w:t>
            </w:r>
            <w:r w:rsidRPr="003B686D">
              <w:rPr>
                <w:rFonts w:ascii="Arial" w:eastAsia="Times New Roman" w:hAnsi="Arial" w:cs="Arial"/>
                <w:sz w:val="20"/>
              </w:rPr>
              <w:t xml:space="preserve"> means an automotive vehicle not operated on rails and usually operated with rubber tires for use on highways.</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i/>
                <w:iCs/>
                <w:sz w:val="20"/>
              </w:rPr>
              <w:t>Motor vehicle scrap</w:t>
            </w:r>
            <w:r w:rsidRPr="003B686D">
              <w:rPr>
                <w:rFonts w:ascii="Arial" w:eastAsia="Times New Roman" w:hAnsi="Arial" w:cs="Arial"/>
                <w:sz w:val="20"/>
              </w:rPr>
              <w:t xml:space="preserve"> means vehicle or automobile bodies, including automobile body </w:t>
            </w:r>
            <w:proofErr w:type="gramStart"/>
            <w:r w:rsidRPr="003B686D">
              <w:rPr>
                <w:rFonts w:ascii="Arial" w:eastAsia="Times New Roman" w:hAnsi="Arial" w:cs="Arial"/>
                <w:sz w:val="20"/>
              </w:rPr>
              <w:t>hulks, that</w:t>
            </w:r>
            <w:proofErr w:type="gramEnd"/>
            <w:r w:rsidRPr="003B686D">
              <w:rPr>
                <w:rFonts w:ascii="Arial" w:eastAsia="Times New Roman" w:hAnsi="Arial" w:cs="Arial"/>
                <w:sz w:val="20"/>
              </w:rPr>
              <w:t xml:space="preserve"> have been processed through a shredder. </w:t>
            </w:r>
            <w:r w:rsidRPr="003B686D">
              <w:rPr>
                <w:rFonts w:ascii="Arial" w:eastAsia="Times New Roman" w:hAnsi="Arial" w:cs="Arial"/>
                <w:i/>
                <w:iCs/>
                <w:sz w:val="20"/>
              </w:rPr>
              <w:t>Motor vehicle scrap</w:t>
            </w:r>
            <w:r w:rsidRPr="003B686D">
              <w:rPr>
                <w:rFonts w:ascii="Arial" w:eastAsia="Times New Roman" w:hAnsi="Arial" w:cs="Arial"/>
                <w:sz w:val="20"/>
              </w:rPr>
              <w:t xml:space="preserve"> does not include automobile manufacturing bundles, or miscellaneous vehicle parts, such as wheels, bumpers or other components that do not contain mercury switches.</w:t>
            </w:r>
          </w:p>
          <w:p w:rsidR="003B686D" w:rsidRPr="003B686D" w:rsidRDefault="003B686D" w:rsidP="003B686D">
            <w:pPr>
              <w:spacing w:before="100" w:beforeAutospacing="1" w:after="100" w:afterAutospacing="1" w:line="240" w:lineRule="auto"/>
              <w:rPr>
                <w:rFonts w:ascii="Arial" w:eastAsia="Times New Roman" w:hAnsi="Arial" w:cs="Arial"/>
                <w:sz w:val="20"/>
              </w:rPr>
            </w:pPr>
            <w:proofErr w:type="gramStart"/>
            <w:r w:rsidRPr="003B686D">
              <w:rPr>
                <w:rFonts w:ascii="Arial" w:eastAsia="Times New Roman" w:hAnsi="Arial" w:cs="Arial"/>
                <w:i/>
                <w:iCs/>
                <w:sz w:val="20"/>
              </w:rPr>
              <w:lastRenderedPageBreak/>
              <w:t>Nonferrous metals</w:t>
            </w:r>
            <w:r w:rsidRPr="003B686D">
              <w:rPr>
                <w:rFonts w:ascii="Arial" w:eastAsia="Times New Roman" w:hAnsi="Arial" w:cs="Arial"/>
                <w:sz w:val="20"/>
              </w:rPr>
              <w:t xml:space="preserve"> means</w:t>
            </w:r>
            <w:proofErr w:type="gramEnd"/>
            <w:r w:rsidRPr="003B686D">
              <w:rPr>
                <w:rFonts w:ascii="Arial" w:eastAsia="Times New Roman" w:hAnsi="Arial" w:cs="Arial"/>
                <w:sz w:val="20"/>
              </w:rPr>
              <w:t xml:space="preserve"> any pure metal other than iron or any metal alloy for which an element other than iron is its major constituent by percent in weight.</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i/>
                <w:iCs/>
                <w:sz w:val="20"/>
              </w:rPr>
              <w:t>Scrap provider</w:t>
            </w:r>
            <w:r w:rsidRPr="003B686D">
              <w:rPr>
                <w:rFonts w:ascii="Arial" w:eastAsia="Times New Roman" w:hAnsi="Arial" w:cs="Arial"/>
                <w:sz w:val="20"/>
              </w:rPr>
              <w:t xml:space="preserve"> means the person (including a broker) who contracts directly with a steel mill to provide scrap that contains motor vehicle scrap. Scrap processors such as shredder operators or vehicle dismantlers that do not sell scrap directly to a steel mill are not </w:t>
            </w:r>
            <w:r w:rsidRPr="003B686D">
              <w:rPr>
                <w:rFonts w:ascii="Arial" w:eastAsia="Times New Roman" w:hAnsi="Arial" w:cs="Arial"/>
                <w:i/>
                <w:iCs/>
                <w:sz w:val="20"/>
              </w:rPr>
              <w:t>scrap providers</w:t>
            </w:r>
            <w:r w:rsidRPr="003B686D">
              <w:rPr>
                <w:rFonts w:ascii="Arial" w:eastAsia="Times New Roman" w:hAnsi="Arial" w:cs="Arial"/>
                <w:sz w:val="20"/>
              </w:rPr>
              <w:t>.</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i/>
                <w:iCs/>
                <w:sz w:val="20"/>
              </w:rPr>
              <w:t>Specialty steel</w:t>
            </w:r>
            <w:r w:rsidRPr="003B686D">
              <w:rPr>
                <w:rFonts w:ascii="Arial" w:eastAsia="Times New Roman" w:hAnsi="Arial" w:cs="Arial"/>
                <w:sz w:val="20"/>
              </w:rPr>
              <w:t xml:space="preserve"> means low carbon and high alloy steel other than stainless steel that is processed in an argon-oxygen decarburization vessel.</w:t>
            </w:r>
          </w:p>
          <w:p w:rsidR="003B686D" w:rsidRPr="003B686D" w:rsidRDefault="003B686D" w:rsidP="003B686D">
            <w:pPr>
              <w:spacing w:before="100" w:beforeAutospacing="1" w:after="100" w:afterAutospacing="1" w:line="240" w:lineRule="auto"/>
              <w:rPr>
                <w:rFonts w:ascii="Arial" w:eastAsia="Times New Roman" w:hAnsi="Arial" w:cs="Arial"/>
                <w:sz w:val="20"/>
              </w:rPr>
            </w:pPr>
            <w:r w:rsidRPr="003B686D">
              <w:rPr>
                <w:rFonts w:ascii="Arial" w:eastAsia="Times New Roman" w:hAnsi="Arial" w:cs="Arial"/>
                <w:i/>
                <w:iCs/>
                <w:sz w:val="20"/>
              </w:rPr>
              <w:t>Stainless steel</w:t>
            </w:r>
            <w:r w:rsidRPr="003B686D">
              <w:rPr>
                <w:rFonts w:ascii="Arial" w:eastAsia="Times New Roman" w:hAnsi="Arial" w:cs="Arial"/>
                <w:sz w:val="20"/>
              </w:rPr>
              <w:t xml:space="preserve"> means low carbon steel that contains at least 10.5 percent chromium.</w:t>
            </w:r>
          </w:p>
          <w:p w:rsidR="003B686D" w:rsidRPr="003B686D" w:rsidRDefault="003B686D" w:rsidP="003B686D">
            <w:pPr>
              <w:spacing w:before="200" w:after="100" w:afterAutospacing="1" w:line="240" w:lineRule="auto"/>
              <w:rPr>
                <w:rFonts w:ascii="Arial" w:eastAsia="Times New Roman" w:hAnsi="Arial" w:cs="Arial"/>
                <w:sz w:val="20"/>
              </w:rPr>
            </w:pPr>
            <w:hyperlink r:id="rId27" w:anchor="_top" w:history="1">
              <w:r>
                <w:rPr>
                  <w:rFonts w:ascii="Arial" w:eastAsia="Times New Roman" w:hAnsi="Arial" w:cs="Arial"/>
                  <w:noProof/>
                  <w:color w:val="0000FF"/>
                  <w:sz w:val="17"/>
                  <w:szCs w:val="17"/>
                </w:rPr>
                <w:drawing>
                  <wp:inline distT="0" distB="0" distL="0" distR="0">
                    <wp:extent cx="152400" cy="152400"/>
                    <wp:effectExtent l="0" t="0" r="0" b="0"/>
                    <wp:docPr id="14" name="Picture 14" descr="return arrow">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16"/>
                            </pic:cNvPr>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B686D">
                <w:rPr>
                  <w:rFonts w:ascii="Arial" w:eastAsia="Times New Roman" w:hAnsi="Arial" w:cs="Arial"/>
                  <w:color w:val="0000FF"/>
                  <w:sz w:val="17"/>
                </w:rPr>
                <w:t>Back to Top</w:t>
              </w:r>
            </w:hyperlink>
          </w:p>
          <w:p w:rsidR="003B686D" w:rsidRPr="003B686D" w:rsidRDefault="003B686D" w:rsidP="003B686D">
            <w:pPr>
              <w:spacing w:before="200" w:after="100" w:line="240" w:lineRule="auto"/>
              <w:outlineLvl w:val="1"/>
              <w:rPr>
                <w:rFonts w:ascii="Arial" w:eastAsia="Times New Roman" w:hAnsi="Arial" w:cs="Arial"/>
                <w:b/>
                <w:bCs/>
                <w:sz w:val="20"/>
              </w:rPr>
            </w:pPr>
            <w:bookmarkStart w:id="10" w:name="40:15.0.1.1.1.12.226.8.46"/>
            <w:bookmarkEnd w:id="10"/>
            <w:r w:rsidRPr="003B686D">
              <w:rPr>
                <w:rFonts w:ascii="Arial" w:eastAsia="Times New Roman" w:hAnsi="Arial" w:cs="Arial"/>
                <w:b/>
                <w:bCs/>
                <w:sz w:val="20"/>
              </w:rPr>
              <w:t xml:space="preserve">Table 1 to Subpart YYYYY of Part 63—Applicability of General Provisions to Subpart YYYYY </w:t>
            </w:r>
          </w:p>
          <w:p w:rsidR="003B686D" w:rsidRPr="003B686D" w:rsidRDefault="003B686D" w:rsidP="003B686D">
            <w:pPr>
              <w:spacing w:before="100" w:beforeAutospacing="1" w:after="100" w:afterAutospacing="1" w:line="240" w:lineRule="auto"/>
              <w:ind w:firstLine="480"/>
              <w:jc w:val="center"/>
              <w:rPr>
                <w:rFonts w:ascii="Arial" w:eastAsia="Times New Roman" w:hAnsi="Arial" w:cs="Arial"/>
                <w:sz w:val="20"/>
              </w:rPr>
            </w:pPr>
            <w:r w:rsidRPr="003B686D">
              <w:rPr>
                <w:rFonts w:ascii="Arial" w:eastAsia="Times New Roman" w:hAnsi="Arial" w:cs="Arial"/>
                <w:sz w:val="20"/>
              </w:rPr>
              <w:t xml:space="preserve">As required in §63.10691(a), you must comply with the requirements of the NESHAP General Provisions (40 CFR part 63, subpart A) shown in the following table.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954"/>
              <w:gridCol w:w="2543"/>
              <w:gridCol w:w="1099"/>
              <w:gridCol w:w="2748"/>
            </w:tblGrid>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B686D" w:rsidRPr="003B686D" w:rsidRDefault="003B686D" w:rsidP="003B686D">
                  <w:pPr>
                    <w:spacing w:after="0" w:line="240" w:lineRule="auto"/>
                    <w:jc w:val="center"/>
                    <w:rPr>
                      <w:rFonts w:ascii="Arial" w:eastAsia="Times New Roman" w:hAnsi="Arial" w:cs="Arial"/>
                      <w:b/>
                      <w:bCs/>
                      <w:sz w:val="20"/>
                    </w:rPr>
                  </w:pPr>
                  <w:r w:rsidRPr="003B686D">
                    <w:rPr>
                      <w:rFonts w:ascii="Arial" w:eastAsia="Times New Roman" w:hAnsi="Arial" w:cs="Arial"/>
                      <w:b/>
                      <w:bCs/>
                      <w:sz w:val="20"/>
                    </w:rPr>
                    <w:t xml:space="preserve">Citation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B686D" w:rsidRPr="003B686D" w:rsidRDefault="003B686D" w:rsidP="003B686D">
                  <w:pPr>
                    <w:spacing w:after="0" w:line="240" w:lineRule="auto"/>
                    <w:jc w:val="center"/>
                    <w:rPr>
                      <w:rFonts w:ascii="Arial" w:eastAsia="Times New Roman" w:hAnsi="Arial" w:cs="Arial"/>
                      <w:b/>
                      <w:bCs/>
                      <w:sz w:val="20"/>
                    </w:rPr>
                  </w:pPr>
                  <w:r w:rsidRPr="003B686D">
                    <w:rPr>
                      <w:rFonts w:ascii="Arial" w:eastAsia="Times New Roman" w:hAnsi="Arial" w:cs="Arial"/>
                      <w:b/>
                      <w:bCs/>
                      <w:sz w:val="20"/>
                    </w:rPr>
                    <w:t xml:space="preserve">Subject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B686D" w:rsidRPr="003B686D" w:rsidRDefault="003B686D" w:rsidP="003B686D">
                  <w:pPr>
                    <w:spacing w:after="0" w:line="240" w:lineRule="auto"/>
                    <w:jc w:val="center"/>
                    <w:rPr>
                      <w:rFonts w:ascii="Arial" w:eastAsia="Times New Roman" w:hAnsi="Arial" w:cs="Arial"/>
                      <w:b/>
                      <w:bCs/>
                      <w:sz w:val="20"/>
                    </w:rPr>
                  </w:pPr>
                  <w:r w:rsidRPr="003B686D">
                    <w:rPr>
                      <w:rFonts w:ascii="Arial" w:eastAsia="Times New Roman" w:hAnsi="Arial" w:cs="Arial"/>
                      <w:b/>
                      <w:bCs/>
                      <w:sz w:val="20"/>
                    </w:rPr>
                    <w:t xml:space="preserve">Applies to subpart YYYYY?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B686D" w:rsidRPr="003B686D" w:rsidRDefault="003B686D" w:rsidP="003B686D">
                  <w:pPr>
                    <w:spacing w:after="0" w:line="240" w:lineRule="auto"/>
                    <w:jc w:val="center"/>
                    <w:rPr>
                      <w:rFonts w:ascii="Arial" w:eastAsia="Times New Roman" w:hAnsi="Arial" w:cs="Arial"/>
                      <w:b/>
                      <w:bCs/>
                      <w:sz w:val="20"/>
                    </w:rPr>
                  </w:pPr>
                  <w:r w:rsidRPr="003B686D">
                    <w:rPr>
                      <w:rFonts w:ascii="Arial" w:eastAsia="Times New Roman" w:hAnsi="Arial" w:cs="Arial"/>
                      <w:b/>
                      <w:bCs/>
                      <w:sz w:val="20"/>
                    </w:rPr>
                    <w:t xml:space="preserve">Explanation </w:t>
                  </w:r>
                </w:p>
              </w:tc>
            </w:tr>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lang w:val="es-MX"/>
                    </w:rPr>
                  </w:pPr>
                  <w:r w:rsidRPr="003B686D">
                    <w:rPr>
                      <w:rFonts w:ascii="Arial" w:eastAsia="Times New Roman" w:hAnsi="Arial" w:cs="Arial"/>
                      <w:sz w:val="20"/>
                      <w:lang w:val="es-MX"/>
                    </w:rPr>
                    <w:t>§63.1(a)(1), (a)(2), (a)(3), (a)(4), (a)(6), (a)(10)-(a)(12), (b)(1), (b)(3), (c)(1), (c)(2), (c)(5), (e)</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p>
              </w:tc>
            </w:tr>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§63.1(a)(5), (a)(7)-(a)(9), (b)(2), (c)(3), (c)(4), (d)</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 xml:space="preserve">No </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p>
              </w:tc>
            </w:tr>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p>
              </w:tc>
            </w:tr>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p>
              </w:tc>
            </w:tr>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p>
              </w:tc>
            </w:tr>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Preconstruction Review and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p>
              </w:tc>
            </w:tr>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lang w:val="es-MX"/>
                    </w:rPr>
                  </w:pPr>
                  <w:r w:rsidRPr="003B686D">
                    <w:rPr>
                      <w:rFonts w:ascii="Arial" w:eastAsia="Times New Roman" w:hAnsi="Arial" w:cs="Arial"/>
                      <w:sz w:val="20"/>
                      <w:lang w:val="es-MX"/>
                    </w:rPr>
                    <w:t>§63.6(a), (b)(1)-(b)(5), (b)(7), (c)(1), (c)(2), (c)(5), (e)(1), (e)(3)(i), (e)(3)(iii)-(e)(3)(ix), (f), (g), (h)(1), (h)(2), (h)(5)-(h)(9), (i), (j)</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p>
              </w:tc>
            </w:tr>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lang w:val="es-MX"/>
                    </w:rPr>
                  </w:pPr>
                  <w:r w:rsidRPr="003B686D">
                    <w:rPr>
                      <w:rFonts w:ascii="Arial" w:eastAsia="Times New Roman" w:hAnsi="Arial" w:cs="Arial"/>
                      <w:sz w:val="20"/>
                      <w:lang w:val="es-MX"/>
                    </w:rPr>
                    <w:t>§63.6(b)(6), (c)(3), (c)(4), (d), (e)(2), (e)(3)(ii), (h)(3), (h)(5)(iv)</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 xml:space="preserve">No </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p>
              </w:tc>
            </w:tr>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§63.7</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Applicability and 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p>
              </w:tc>
            </w:tr>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§63.8(a)(1), (a)(2), (b), (c), (d), (e), (f)(1)-(5), (g)</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Requirements apply if a COMS or CEMS is used.</w:t>
                  </w:r>
                </w:p>
              </w:tc>
            </w:tr>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 xml:space="preserve">No </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p>
              </w:tc>
            </w:tr>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lastRenderedPageBreak/>
                    <w:t>§63.8(a)(4)</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Additional Monitoring Requirements for Control Devices in §63.11</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 xml:space="preserve">No </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p>
              </w:tc>
            </w:tr>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§63.8(c)(4)</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Continuous Monitoring System Requirements</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Requirements apply if a COMS or CEMS is used.</w:t>
                  </w:r>
                </w:p>
              </w:tc>
            </w:tr>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RATA Alternative</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Requirements apply if a CEMS is used.</w:t>
                  </w:r>
                </w:p>
              </w:tc>
            </w:tr>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§63.9(a), (b)(1), (b)(2), (b)(5), (c), (d), (f), (g), (h)(1)-(h)(3), (h)(5), (h)(6), (i), (j)</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p>
              </w:tc>
            </w:tr>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§63.9(b)(3), (h)(4)</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 xml:space="preserve">No </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p>
              </w:tc>
            </w:tr>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§63.9(b)(4)</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 xml:space="preserve">No </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p>
              </w:tc>
            </w:tr>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lang w:val="es-MX"/>
                    </w:rPr>
                  </w:pPr>
                  <w:r w:rsidRPr="003B686D">
                    <w:rPr>
                      <w:rFonts w:ascii="Arial" w:eastAsia="Times New Roman" w:hAnsi="Arial" w:cs="Arial"/>
                      <w:sz w:val="20"/>
                      <w:lang w:val="es-MX"/>
                    </w:rPr>
                    <w:t>§63.10(a), (b)(1), (b)(2)(i)-(v), (b)(2)(xiv), (b)(3), (c)(1), (c)(5)-(c)(8), (c)(10)-(c)(15), (d), (e)(1)-(e)(4), (f)</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Recordkeeping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Additional records for CMS in §63.10(c) (1)-(6), (9)-(15), and reports in §63.10(d</w:t>
                  </w:r>
                  <w:proofErr w:type="gramStart"/>
                  <w:r w:rsidRPr="003B686D">
                    <w:rPr>
                      <w:rFonts w:ascii="Arial" w:eastAsia="Times New Roman" w:hAnsi="Arial" w:cs="Arial"/>
                      <w:sz w:val="20"/>
                    </w:rPr>
                    <w:t>)(</w:t>
                  </w:r>
                  <w:proofErr w:type="gramEnd"/>
                  <w:r w:rsidRPr="003B686D">
                    <w:rPr>
                      <w:rFonts w:ascii="Arial" w:eastAsia="Times New Roman" w:hAnsi="Arial" w:cs="Arial"/>
                      <w:sz w:val="20"/>
                    </w:rPr>
                    <w:t>1)-(2) apply if a COMS or CEMS is used.</w:t>
                  </w:r>
                </w:p>
              </w:tc>
            </w:tr>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CMS Records for RATA Alternative</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Requirements apply if a CEMS is used.</w:t>
                  </w:r>
                </w:p>
              </w:tc>
            </w:tr>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§63.10(c)(2)-(c)(4), (c)(9)</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 xml:space="preserve">No </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p>
              </w:tc>
            </w:tr>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§63.11</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 xml:space="preserve">No </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p>
              </w:tc>
            </w:tr>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p>
              </w:tc>
            </w:tr>
            <w:tr w:rsidR="003B686D" w:rsidRPr="003B686D" w:rsidTr="003B686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§§63.13-63.16</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Addresses, Incorporations by Reference, Availability of Information, Performance Track Provisions</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B686D" w:rsidRPr="003B686D" w:rsidRDefault="003B686D" w:rsidP="003B686D">
                  <w:pPr>
                    <w:spacing w:after="0" w:line="240" w:lineRule="auto"/>
                    <w:rPr>
                      <w:rFonts w:ascii="Arial" w:eastAsia="Times New Roman" w:hAnsi="Arial" w:cs="Arial"/>
                      <w:sz w:val="20"/>
                    </w:rPr>
                  </w:pPr>
                </w:p>
              </w:tc>
            </w:tr>
          </w:tbl>
          <w:p w:rsidR="003B686D" w:rsidRPr="003B686D" w:rsidRDefault="003B686D" w:rsidP="003B686D">
            <w:pPr>
              <w:spacing w:before="200" w:after="100" w:afterAutospacing="1" w:line="240" w:lineRule="auto"/>
              <w:rPr>
                <w:rFonts w:ascii="Arial" w:eastAsia="Times New Roman" w:hAnsi="Arial" w:cs="Arial"/>
                <w:sz w:val="20"/>
              </w:rPr>
            </w:pPr>
            <w:hyperlink r:id="rId28" w:anchor="_top" w:history="1">
              <w:r>
                <w:rPr>
                  <w:rFonts w:ascii="Arial" w:eastAsia="Times New Roman" w:hAnsi="Arial" w:cs="Arial"/>
                  <w:noProof/>
                  <w:color w:val="0000FF"/>
                  <w:sz w:val="17"/>
                  <w:szCs w:val="17"/>
                </w:rPr>
                <w:drawing>
                  <wp:inline distT="0" distB="0" distL="0" distR="0">
                    <wp:extent cx="152400" cy="152400"/>
                    <wp:effectExtent l="0" t="0" r="0" b="0"/>
                    <wp:docPr id="15" name="Picture 15" descr="return arrow">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16"/>
                            </pic:cNvPr>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B686D">
                <w:rPr>
                  <w:rFonts w:ascii="Arial" w:eastAsia="Times New Roman" w:hAnsi="Arial" w:cs="Arial"/>
                  <w:color w:val="0000FF"/>
                  <w:sz w:val="17"/>
                </w:rPr>
                <w:t>Back to Top</w:t>
              </w:r>
            </w:hyperlink>
          </w:p>
          <w:tbl>
            <w:tblPr>
              <w:tblW w:w="5000" w:type="pct"/>
              <w:jc w:val="center"/>
              <w:tblCellSpacing w:w="15" w:type="dxa"/>
              <w:tblCellMar>
                <w:top w:w="15" w:type="dxa"/>
                <w:left w:w="15" w:type="dxa"/>
                <w:bottom w:w="15" w:type="dxa"/>
                <w:right w:w="15" w:type="dxa"/>
              </w:tblCellMar>
              <w:tblLook w:val="04A0"/>
            </w:tblPr>
            <w:tblGrid>
              <w:gridCol w:w="9360"/>
            </w:tblGrid>
            <w:tr w:rsidR="003B686D" w:rsidRPr="003B686D" w:rsidTr="003B686D">
              <w:trPr>
                <w:tblCellSpacing w:w="15" w:type="dxa"/>
                <w:jc w:val="center"/>
              </w:trPr>
              <w:tc>
                <w:tcPr>
                  <w:tcW w:w="0" w:type="auto"/>
                  <w:hideMark/>
                </w:tcPr>
                <w:p w:rsidR="003B686D" w:rsidRPr="003B686D" w:rsidRDefault="003B686D" w:rsidP="003B686D">
                  <w:pPr>
                    <w:spacing w:after="0" w:line="240" w:lineRule="auto"/>
                    <w:rPr>
                      <w:rFonts w:ascii="Arial" w:eastAsia="Times New Roman" w:hAnsi="Arial" w:cs="Arial"/>
                      <w:sz w:val="20"/>
                    </w:rPr>
                  </w:pPr>
                  <w:r w:rsidRPr="003B686D">
                    <w:rPr>
                      <w:rFonts w:ascii="Arial" w:eastAsia="Times New Roman" w:hAnsi="Arial" w:cs="Arial"/>
                      <w:sz w:val="20"/>
                    </w:rPr>
                    <w:pict>
                      <v:rect id="_x0000_i1068" style="width:327.6pt;height:1.5pt" o:hrpct="700" o:hralign="center" o:hrstd="t" o:hr="t" fillcolor="#aca899" stroked="f"/>
                    </w:pict>
                  </w:r>
                </w:p>
                <w:p w:rsidR="003B686D" w:rsidRPr="003B686D" w:rsidRDefault="003B686D" w:rsidP="003B686D">
                  <w:pPr>
                    <w:spacing w:after="0" w:line="240" w:lineRule="auto"/>
                    <w:rPr>
                      <w:rFonts w:ascii="Arial" w:eastAsia="Times New Roman" w:hAnsi="Arial" w:cs="Arial"/>
                      <w:sz w:val="20"/>
                    </w:rPr>
                  </w:pPr>
                </w:p>
                <w:p w:rsidR="003B686D" w:rsidRPr="003B686D" w:rsidRDefault="003B686D" w:rsidP="003B686D">
                  <w:pPr>
                    <w:spacing w:before="100" w:beforeAutospacing="1" w:after="240" w:line="240" w:lineRule="auto"/>
                    <w:rPr>
                      <w:rFonts w:ascii="Arial" w:eastAsia="Times New Roman" w:hAnsi="Arial" w:cs="Arial"/>
                      <w:sz w:val="17"/>
                      <w:szCs w:val="17"/>
                    </w:rPr>
                  </w:pPr>
                  <w:r w:rsidRPr="003B686D">
                    <w:rPr>
                      <w:rFonts w:ascii="Arial" w:eastAsia="Times New Roman" w:hAnsi="Arial" w:cs="Arial"/>
                      <w:sz w:val="17"/>
                      <w:szCs w:val="17"/>
                    </w:rPr>
                    <w:t xml:space="preserve">For questions or comments regarding e-CFR editorial content, features, or design, email </w:t>
                  </w:r>
                  <w:hyperlink r:id="rId29" w:history="1">
                    <w:r w:rsidRPr="003B686D">
                      <w:rPr>
                        <w:rFonts w:ascii="Arial" w:eastAsia="Times New Roman" w:hAnsi="Arial" w:cs="Arial"/>
                        <w:color w:val="0000FF"/>
                        <w:sz w:val="17"/>
                      </w:rPr>
                      <w:t>ecfr@nara.gov</w:t>
                    </w:r>
                  </w:hyperlink>
                  <w:r w:rsidRPr="003B686D">
                    <w:rPr>
                      <w:rFonts w:ascii="Arial" w:eastAsia="Times New Roman" w:hAnsi="Arial" w:cs="Arial"/>
                      <w:sz w:val="17"/>
                      <w:szCs w:val="17"/>
                    </w:rPr>
                    <w:t>.</w:t>
                  </w:r>
                  <w:r w:rsidRPr="003B686D">
                    <w:rPr>
                      <w:rFonts w:ascii="Arial" w:eastAsia="Times New Roman" w:hAnsi="Arial" w:cs="Arial"/>
                      <w:sz w:val="17"/>
                      <w:szCs w:val="17"/>
                    </w:rPr>
                    <w:br/>
                    <w:t xml:space="preserve">For questions concerning e-CFR programming and delivery issues, email </w:t>
                  </w:r>
                  <w:hyperlink r:id="rId30" w:history="1">
                    <w:r w:rsidRPr="003B686D">
                      <w:rPr>
                        <w:rFonts w:ascii="Arial" w:eastAsia="Times New Roman" w:hAnsi="Arial" w:cs="Arial"/>
                        <w:color w:val="0000FF"/>
                        <w:sz w:val="17"/>
                      </w:rPr>
                      <w:t>webteam@gpo.gov</w:t>
                    </w:r>
                  </w:hyperlink>
                  <w:r w:rsidRPr="003B686D">
                    <w:rPr>
                      <w:rFonts w:ascii="Arial" w:eastAsia="Times New Roman" w:hAnsi="Arial" w:cs="Arial"/>
                      <w:sz w:val="17"/>
                      <w:szCs w:val="17"/>
                    </w:rPr>
                    <w:t>.</w:t>
                  </w:r>
                </w:p>
              </w:tc>
            </w:tr>
          </w:tbl>
          <w:p w:rsidR="003B686D" w:rsidRPr="003B686D" w:rsidRDefault="003B686D" w:rsidP="003B686D">
            <w:pPr>
              <w:spacing w:after="0" w:line="240" w:lineRule="auto"/>
              <w:jc w:val="center"/>
              <w:rPr>
                <w:rFonts w:ascii="Arial" w:eastAsia="Times New Roman" w:hAnsi="Arial" w:cs="Arial"/>
                <w:sz w:val="20"/>
              </w:rPr>
            </w:pPr>
          </w:p>
        </w:tc>
      </w:tr>
    </w:tbl>
    <w:p w:rsidR="003B686D" w:rsidRPr="003B686D" w:rsidRDefault="003B686D" w:rsidP="003B686D">
      <w:pPr>
        <w:shd w:val="clear" w:color="auto" w:fill="FFFFFF"/>
        <w:spacing w:after="0" w:line="240" w:lineRule="auto"/>
        <w:rPr>
          <w:rFonts w:ascii="Arial" w:eastAsia="Times New Roman" w:hAnsi="Arial" w:cs="Arial"/>
          <w:color w:val="000000"/>
          <w:sz w:val="15"/>
          <w:szCs w:val="15"/>
          <w:lang/>
        </w:rPr>
      </w:pPr>
      <w:r w:rsidRPr="003B686D">
        <w:rPr>
          <w:rFonts w:ascii="Arial" w:eastAsia="Times New Roman" w:hAnsi="Arial" w:cs="Arial"/>
          <w:color w:val="000000"/>
          <w:sz w:val="15"/>
          <w:szCs w:val="15"/>
          <w:lang/>
        </w:rPr>
        <w:lastRenderedPageBreak/>
        <w:t xml:space="preserve">732 North Capitol </w:t>
      </w:r>
      <w:proofErr w:type="gramStart"/>
      <w:r w:rsidRPr="003B686D">
        <w:rPr>
          <w:rFonts w:ascii="Arial" w:eastAsia="Times New Roman" w:hAnsi="Arial" w:cs="Arial"/>
          <w:color w:val="000000"/>
          <w:sz w:val="15"/>
          <w:szCs w:val="15"/>
          <w:lang/>
        </w:rPr>
        <w:t>Street</w:t>
      </w:r>
      <w:proofErr w:type="gramEnd"/>
      <w:r w:rsidRPr="003B686D">
        <w:rPr>
          <w:rFonts w:ascii="Arial" w:eastAsia="Times New Roman" w:hAnsi="Arial" w:cs="Arial"/>
          <w:color w:val="000000"/>
          <w:sz w:val="15"/>
          <w:szCs w:val="15"/>
          <w:lang/>
        </w:rPr>
        <w:t xml:space="preserve">, NW, Washington, DC 20401-0001     202.512.1800 </w:t>
      </w:r>
    </w:p>
    <w:p w:rsidR="003B686D" w:rsidRPr="003B686D" w:rsidRDefault="003B686D" w:rsidP="003B686D">
      <w:pPr>
        <w:shd w:val="clear" w:color="auto" w:fill="FFFFFF"/>
        <w:spacing w:line="240" w:lineRule="auto"/>
        <w:jc w:val="right"/>
        <w:rPr>
          <w:rFonts w:ascii="Arial" w:eastAsia="Times New Roman" w:hAnsi="Arial" w:cs="Arial"/>
          <w:color w:val="000000"/>
          <w:sz w:val="15"/>
          <w:szCs w:val="15"/>
          <w:lang/>
        </w:rPr>
      </w:pPr>
      <w:hyperlink r:id="rId31" w:history="1">
        <w:r w:rsidRPr="003B686D">
          <w:rPr>
            <w:rFonts w:ascii="Arial" w:eastAsia="Times New Roman" w:hAnsi="Arial" w:cs="Arial"/>
            <w:color w:val="0066CC"/>
            <w:sz w:val="15"/>
            <w:szCs w:val="15"/>
            <w:lang/>
          </w:rPr>
          <w:t>Privacy</w:t>
        </w:r>
      </w:hyperlink>
      <w:r w:rsidRPr="003B686D">
        <w:rPr>
          <w:rFonts w:ascii="Arial" w:eastAsia="Times New Roman" w:hAnsi="Arial" w:cs="Arial"/>
          <w:color w:val="000000"/>
          <w:sz w:val="15"/>
          <w:szCs w:val="15"/>
          <w:lang/>
        </w:rPr>
        <w:t xml:space="preserve">   |   </w:t>
      </w:r>
      <w:hyperlink r:id="rId32" w:history="1">
        <w:r w:rsidRPr="003B686D">
          <w:rPr>
            <w:rFonts w:ascii="Arial" w:eastAsia="Times New Roman" w:hAnsi="Arial" w:cs="Arial"/>
            <w:color w:val="0066CC"/>
            <w:sz w:val="15"/>
            <w:szCs w:val="15"/>
            <w:lang/>
          </w:rPr>
          <w:t xml:space="preserve">Important </w:t>
        </w:r>
      </w:hyperlink>
    </w:p>
    <w:p w:rsidR="001F55B9" w:rsidRDefault="001F55B9"/>
    <w:sectPr w:rsidR="001F55B9" w:rsidSect="001F55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3B686D"/>
    <w:rsid w:val="001F55B9"/>
    <w:rsid w:val="003B686D"/>
    <w:rsid w:val="00455252"/>
    <w:rsid w:val="0085717E"/>
    <w:rsid w:val="00C9421A"/>
    <w:rsid w:val="00CB2DC8"/>
    <w:rsid w:val="00F16C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5B9"/>
  </w:style>
  <w:style w:type="paragraph" w:styleId="Heading2">
    <w:name w:val="heading 2"/>
    <w:basedOn w:val="Normal"/>
    <w:link w:val="Heading2Char"/>
    <w:uiPriority w:val="9"/>
    <w:qFormat/>
    <w:rsid w:val="003B686D"/>
    <w:pPr>
      <w:spacing w:before="200" w:after="100" w:line="240" w:lineRule="auto"/>
      <w:jc w:val="center"/>
      <w:outlineLvl w:val="1"/>
    </w:pPr>
    <w:rPr>
      <w:rFonts w:eastAsia="Times New Roman"/>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686D"/>
    <w:rPr>
      <w:rFonts w:eastAsia="Times New Roman"/>
      <w:b/>
      <w:bCs/>
      <w:sz w:val="20"/>
    </w:rPr>
  </w:style>
  <w:style w:type="character" w:styleId="Hyperlink">
    <w:name w:val="Hyperlink"/>
    <w:basedOn w:val="DefaultParagraphFont"/>
    <w:uiPriority w:val="99"/>
    <w:semiHidden/>
    <w:unhideWhenUsed/>
    <w:rsid w:val="003B686D"/>
    <w:rPr>
      <w:rFonts w:ascii="Arial" w:hAnsi="Arial" w:cs="Arial" w:hint="default"/>
      <w:strike w:val="0"/>
      <w:dstrike w:val="0"/>
      <w:color w:val="0000FF"/>
      <w:sz w:val="17"/>
      <w:szCs w:val="17"/>
      <w:u w:val="none"/>
      <w:effect w:val="none"/>
    </w:rPr>
  </w:style>
  <w:style w:type="paragraph" w:styleId="NormalWeb">
    <w:name w:val="Normal (Web)"/>
    <w:basedOn w:val="Normal"/>
    <w:uiPriority w:val="99"/>
    <w:semiHidden/>
    <w:unhideWhenUsed/>
    <w:rsid w:val="003B686D"/>
    <w:pPr>
      <w:spacing w:before="100" w:beforeAutospacing="1" w:after="100" w:afterAutospacing="1" w:line="240" w:lineRule="auto"/>
      <w:ind w:firstLine="480"/>
    </w:pPr>
    <w:rPr>
      <w:rFonts w:eastAsia="Times New Roman"/>
      <w:sz w:val="24"/>
      <w:szCs w:val="24"/>
    </w:rPr>
  </w:style>
  <w:style w:type="paragraph" w:customStyle="1" w:styleId="contact">
    <w:name w:val="contact"/>
    <w:basedOn w:val="Normal"/>
    <w:rsid w:val="003B686D"/>
    <w:pPr>
      <w:spacing w:before="100" w:beforeAutospacing="1" w:after="100" w:afterAutospacing="1" w:line="240" w:lineRule="auto"/>
    </w:pPr>
    <w:rPr>
      <w:rFonts w:eastAsia="Times New Roman"/>
      <w:sz w:val="17"/>
      <w:szCs w:val="17"/>
    </w:rPr>
  </w:style>
  <w:style w:type="paragraph" w:customStyle="1" w:styleId="fp">
    <w:name w:val="fp"/>
    <w:basedOn w:val="Normal"/>
    <w:rsid w:val="003B686D"/>
    <w:pPr>
      <w:spacing w:before="200" w:after="100" w:afterAutospacing="1" w:line="240" w:lineRule="auto"/>
    </w:pPr>
    <w:rPr>
      <w:rFonts w:eastAsia="Times New Roman"/>
      <w:sz w:val="24"/>
      <w:szCs w:val="24"/>
    </w:rPr>
  </w:style>
  <w:style w:type="paragraph" w:customStyle="1" w:styleId="contentsg">
    <w:name w:val="contentsg"/>
    <w:basedOn w:val="Normal"/>
    <w:rsid w:val="003B686D"/>
    <w:pPr>
      <w:spacing w:before="200" w:after="100" w:afterAutospacing="1" w:line="240" w:lineRule="auto"/>
    </w:pPr>
    <w:rPr>
      <w:rFonts w:eastAsia="Times New Roman"/>
      <w:smallCaps/>
      <w:sz w:val="20"/>
    </w:rPr>
  </w:style>
  <w:style w:type="paragraph" w:customStyle="1" w:styleId="source">
    <w:name w:val="source"/>
    <w:basedOn w:val="Normal"/>
    <w:rsid w:val="003B686D"/>
    <w:pPr>
      <w:spacing w:before="200" w:after="100" w:afterAutospacing="1" w:line="240" w:lineRule="auto"/>
      <w:ind w:firstLine="480"/>
    </w:pPr>
    <w:rPr>
      <w:rFonts w:eastAsia="Times New Roman"/>
      <w:sz w:val="18"/>
      <w:szCs w:val="18"/>
    </w:rPr>
  </w:style>
  <w:style w:type="paragraph" w:customStyle="1" w:styleId="fp-2">
    <w:name w:val="fp-2"/>
    <w:basedOn w:val="Normal"/>
    <w:rsid w:val="003B686D"/>
    <w:pPr>
      <w:spacing w:before="200" w:after="100" w:line="240" w:lineRule="auto"/>
      <w:ind w:left="960" w:hanging="960"/>
    </w:pPr>
    <w:rPr>
      <w:rFonts w:eastAsia="Times New Roman"/>
      <w:sz w:val="24"/>
      <w:szCs w:val="24"/>
    </w:rPr>
  </w:style>
  <w:style w:type="paragraph" w:styleId="BalloonText">
    <w:name w:val="Balloon Text"/>
    <w:basedOn w:val="Normal"/>
    <w:link w:val="BalloonTextChar"/>
    <w:uiPriority w:val="99"/>
    <w:semiHidden/>
    <w:unhideWhenUsed/>
    <w:rsid w:val="003B68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86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91786879">
      <w:bodyDiv w:val="1"/>
      <w:marLeft w:val="0"/>
      <w:marRight w:val="0"/>
      <w:marTop w:val="30"/>
      <w:marBottom w:val="750"/>
      <w:divBdr>
        <w:top w:val="none" w:sz="0" w:space="0" w:color="auto"/>
        <w:left w:val="none" w:sz="0" w:space="0" w:color="auto"/>
        <w:bottom w:val="none" w:sz="0" w:space="0" w:color="auto"/>
        <w:right w:val="none" w:sz="0" w:space="0" w:color="auto"/>
      </w:divBdr>
      <w:divsChild>
        <w:div w:id="518859604">
          <w:marLeft w:val="0"/>
          <w:marRight w:val="0"/>
          <w:marTop w:val="0"/>
          <w:marBottom w:val="0"/>
          <w:divBdr>
            <w:top w:val="none" w:sz="0" w:space="0" w:color="auto"/>
            <w:left w:val="none" w:sz="0" w:space="0" w:color="auto"/>
            <w:bottom w:val="none" w:sz="0" w:space="0" w:color="auto"/>
            <w:right w:val="none" w:sz="0" w:space="0" w:color="auto"/>
          </w:divBdr>
          <w:divsChild>
            <w:div w:id="271280054">
              <w:marLeft w:val="0"/>
              <w:marRight w:val="0"/>
              <w:marTop w:val="0"/>
              <w:marBottom w:val="0"/>
              <w:divBdr>
                <w:top w:val="none" w:sz="0" w:space="0" w:color="auto"/>
                <w:left w:val="none" w:sz="0" w:space="0" w:color="auto"/>
                <w:bottom w:val="none" w:sz="0" w:space="0" w:color="auto"/>
                <w:right w:val="none" w:sz="0" w:space="0" w:color="auto"/>
              </w:divBdr>
            </w:div>
            <w:div w:id="1361474168">
              <w:marLeft w:val="0"/>
              <w:marRight w:val="0"/>
              <w:marTop w:val="0"/>
              <w:marBottom w:val="0"/>
              <w:divBdr>
                <w:top w:val="none" w:sz="0" w:space="0" w:color="auto"/>
                <w:left w:val="none" w:sz="0" w:space="0" w:color="auto"/>
                <w:bottom w:val="none" w:sz="0" w:space="0" w:color="auto"/>
                <w:right w:val="none" w:sz="0" w:space="0" w:color="auto"/>
              </w:divBdr>
            </w:div>
            <w:div w:id="523520768">
              <w:marLeft w:val="0"/>
              <w:marRight w:val="0"/>
              <w:marTop w:val="0"/>
              <w:marBottom w:val="0"/>
              <w:divBdr>
                <w:top w:val="none" w:sz="0" w:space="0" w:color="auto"/>
                <w:left w:val="none" w:sz="0" w:space="0" w:color="auto"/>
                <w:bottom w:val="none" w:sz="0" w:space="0" w:color="auto"/>
                <w:right w:val="none" w:sz="0" w:space="0" w:color="auto"/>
              </w:divBdr>
            </w:div>
            <w:div w:id="1346517307">
              <w:marLeft w:val="0"/>
              <w:marRight w:val="0"/>
              <w:marTop w:val="0"/>
              <w:marBottom w:val="0"/>
              <w:divBdr>
                <w:top w:val="none" w:sz="0" w:space="0" w:color="auto"/>
                <w:left w:val="none" w:sz="0" w:space="0" w:color="auto"/>
                <w:bottom w:val="none" w:sz="0" w:space="0" w:color="auto"/>
                <w:right w:val="none" w:sz="0" w:space="0" w:color="auto"/>
              </w:divBdr>
            </w:div>
            <w:div w:id="925845402">
              <w:marLeft w:val="0"/>
              <w:marRight w:val="0"/>
              <w:marTop w:val="0"/>
              <w:marBottom w:val="0"/>
              <w:divBdr>
                <w:top w:val="none" w:sz="0" w:space="0" w:color="auto"/>
                <w:left w:val="none" w:sz="0" w:space="0" w:color="auto"/>
                <w:bottom w:val="none" w:sz="0" w:space="0" w:color="auto"/>
                <w:right w:val="none" w:sz="0" w:space="0" w:color="auto"/>
              </w:divBdr>
            </w:div>
            <w:div w:id="209222499">
              <w:marLeft w:val="0"/>
              <w:marRight w:val="0"/>
              <w:marTop w:val="0"/>
              <w:marBottom w:val="0"/>
              <w:divBdr>
                <w:top w:val="none" w:sz="0" w:space="0" w:color="auto"/>
                <w:left w:val="none" w:sz="0" w:space="0" w:color="auto"/>
                <w:bottom w:val="none" w:sz="0" w:space="0" w:color="auto"/>
                <w:right w:val="none" w:sz="0" w:space="0" w:color="auto"/>
              </w:divBdr>
            </w:div>
            <w:div w:id="609629304">
              <w:marLeft w:val="0"/>
              <w:marRight w:val="0"/>
              <w:marTop w:val="0"/>
              <w:marBottom w:val="0"/>
              <w:divBdr>
                <w:top w:val="none" w:sz="0" w:space="0" w:color="auto"/>
                <w:left w:val="none" w:sz="0" w:space="0" w:color="auto"/>
                <w:bottom w:val="none" w:sz="0" w:space="0" w:color="auto"/>
                <w:right w:val="none" w:sz="0" w:space="0" w:color="auto"/>
              </w:divBdr>
            </w:div>
            <w:div w:id="2057200282">
              <w:marLeft w:val="0"/>
              <w:marRight w:val="0"/>
              <w:marTop w:val="0"/>
              <w:marBottom w:val="0"/>
              <w:divBdr>
                <w:top w:val="none" w:sz="0" w:space="0" w:color="auto"/>
                <w:left w:val="none" w:sz="0" w:space="0" w:color="auto"/>
                <w:bottom w:val="none" w:sz="0" w:space="0" w:color="auto"/>
                <w:right w:val="none" w:sz="0" w:space="0" w:color="auto"/>
              </w:divBdr>
            </w:div>
            <w:div w:id="1272013001">
              <w:marLeft w:val="0"/>
              <w:marRight w:val="0"/>
              <w:marTop w:val="0"/>
              <w:marBottom w:val="0"/>
              <w:divBdr>
                <w:top w:val="none" w:sz="0" w:space="0" w:color="auto"/>
                <w:left w:val="none" w:sz="0" w:space="0" w:color="auto"/>
                <w:bottom w:val="none" w:sz="0" w:space="0" w:color="auto"/>
                <w:right w:val="none" w:sz="0" w:space="0" w:color="auto"/>
              </w:divBdr>
            </w:div>
            <w:div w:id="642202414">
              <w:marLeft w:val="0"/>
              <w:marRight w:val="0"/>
              <w:marTop w:val="0"/>
              <w:marBottom w:val="0"/>
              <w:divBdr>
                <w:top w:val="none" w:sz="0" w:space="0" w:color="auto"/>
                <w:left w:val="none" w:sz="0" w:space="0" w:color="auto"/>
                <w:bottom w:val="none" w:sz="0" w:space="0" w:color="auto"/>
                <w:right w:val="none" w:sz="0" w:space="0" w:color="auto"/>
              </w:divBdr>
            </w:div>
            <w:div w:id="1724937420">
              <w:marLeft w:val="0"/>
              <w:marRight w:val="0"/>
              <w:marTop w:val="0"/>
              <w:marBottom w:val="0"/>
              <w:divBdr>
                <w:top w:val="none" w:sz="0" w:space="0" w:color="auto"/>
                <w:left w:val="none" w:sz="0" w:space="0" w:color="auto"/>
                <w:bottom w:val="none" w:sz="0" w:space="0" w:color="auto"/>
                <w:right w:val="none" w:sz="0" w:space="0" w:color="auto"/>
              </w:divBdr>
            </w:div>
            <w:div w:id="1564559055">
              <w:marLeft w:val="0"/>
              <w:marRight w:val="0"/>
              <w:marTop w:val="0"/>
              <w:marBottom w:val="0"/>
              <w:divBdr>
                <w:top w:val="none" w:sz="0" w:space="0" w:color="auto"/>
                <w:left w:val="none" w:sz="0" w:space="0" w:color="auto"/>
                <w:bottom w:val="none" w:sz="0" w:space="0" w:color="auto"/>
                <w:right w:val="none" w:sz="0" w:space="0" w:color="auto"/>
              </w:divBdr>
            </w:div>
            <w:div w:id="92827605">
              <w:marLeft w:val="0"/>
              <w:marRight w:val="0"/>
              <w:marTop w:val="0"/>
              <w:marBottom w:val="0"/>
              <w:divBdr>
                <w:top w:val="none" w:sz="0" w:space="0" w:color="auto"/>
                <w:left w:val="none" w:sz="0" w:space="0" w:color="auto"/>
                <w:bottom w:val="none" w:sz="0" w:space="0" w:color="auto"/>
                <w:right w:val="none" w:sz="0" w:space="0" w:color="auto"/>
              </w:divBdr>
              <w:divsChild>
                <w:div w:id="8496088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63186697">
              <w:marLeft w:val="0"/>
              <w:marRight w:val="0"/>
              <w:marTop w:val="0"/>
              <w:marBottom w:val="0"/>
              <w:divBdr>
                <w:top w:val="none" w:sz="0" w:space="0" w:color="auto"/>
                <w:left w:val="none" w:sz="0" w:space="0" w:color="auto"/>
                <w:bottom w:val="none" w:sz="0" w:space="0" w:color="auto"/>
                <w:right w:val="none" w:sz="0" w:space="0" w:color="auto"/>
              </w:divBdr>
            </w:div>
          </w:divsChild>
        </w:div>
        <w:div w:id="902181078">
          <w:marLeft w:val="0"/>
          <w:marRight w:val="0"/>
          <w:marTop w:val="30"/>
          <w:marBottom w:val="75"/>
          <w:divBdr>
            <w:top w:val="single" w:sz="6" w:space="0" w:color="FFFFFF"/>
            <w:left w:val="single" w:sz="6" w:space="0" w:color="FFFFFF"/>
            <w:bottom w:val="single" w:sz="6" w:space="0" w:color="FFFFFF"/>
            <w:right w:val="single" w:sz="6" w:space="0" w:color="FFFFFF"/>
          </w:divBdr>
          <w:divsChild>
            <w:div w:id="1324629356">
              <w:marLeft w:val="0"/>
              <w:marRight w:val="0"/>
              <w:marTop w:val="0"/>
              <w:marBottom w:val="0"/>
              <w:divBdr>
                <w:top w:val="single" w:sz="6" w:space="0" w:color="FFFFFF"/>
                <w:left w:val="single" w:sz="6" w:space="8" w:color="FFFFFF"/>
                <w:bottom w:val="single" w:sz="6" w:space="0" w:color="FFFFFF"/>
                <w:right w:val="single" w:sz="6" w:space="0" w:color="FFFFFF"/>
              </w:divBdr>
            </w:div>
            <w:div w:id="2022007276">
              <w:marLeft w:val="0"/>
              <w:marRight w:val="0"/>
              <w:marTop w:val="0"/>
              <w:marBottom w:val="0"/>
              <w:divBdr>
                <w:top w:val="single" w:sz="6" w:space="0" w:color="FFFFFF"/>
                <w:left w:val="single" w:sz="6" w:space="0" w:color="FFFFFF"/>
                <w:bottom w:val="single" w:sz="6" w:space="0" w:color="FFFFFF"/>
                <w:right w:val="single" w:sz="6" w:space="8" w:color="FFFFFF"/>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SID=55c9c8515c5c79d92ed68767a5ef7a6a&amp;node=40:15.0.1.1.1.12&amp;rgn=div6" TargetMode="External"/><Relationship Id="rId13" Type="http://schemas.openxmlformats.org/officeDocument/2006/relationships/hyperlink" Target="http://www.ecfr.gov/cgi-bin/text-idx?SID=55c9c8515c5c79d92ed68767a5ef7a6a&amp;node=40:15.0.1.1.1.12&amp;rgn=div6" TargetMode="External"/><Relationship Id="rId18" Type="http://schemas.openxmlformats.org/officeDocument/2006/relationships/hyperlink" Target="http://www.ecfr.gov/cgi-bin/text-idx?SID=55c9c8515c5c79d92ed68767a5ef7a6a&amp;node=40:15.0.1.1.1.12&amp;rgn=div6" TargetMode="External"/><Relationship Id="rId26" Type="http://schemas.openxmlformats.org/officeDocument/2006/relationships/hyperlink" Target="http://www.ecfr.gov/cgi-bin/text-idx?SID=55c9c8515c5c79d92ed68767a5ef7a6a&amp;node=40:15.0.1.1.1.12&amp;rgn=div6" TargetMode="External"/><Relationship Id="rId3" Type="http://schemas.openxmlformats.org/officeDocument/2006/relationships/webSettings" Target="webSettings.xml"/><Relationship Id="rId21" Type="http://schemas.openxmlformats.org/officeDocument/2006/relationships/image" Target="media/image2.gif"/><Relationship Id="rId34" Type="http://schemas.openxmlformats.org/officeDocument/2006/relationships/theme" Target="theme/theme1.xml"/><Relationship Id="rId7" Type="http://schemas.openxmlformats.org/officeDocument/2006/relationships/hyperlink" Target="http://www.ecfr.gov/cgi-bin/text-idx?SID=55c9c8515c5c79d92ed68767a5ef7a6a&amp;node=40:15.0.1.1.1.12&amp;rgn=div6" TargetMode="External"/><Relationship Id="rId12" Type="http://schemas.openxmlformats.org/officeDocument/2006/relationships/hyperlink" Target="http://www.ecfr.gov/cgi-bin/text-idx?SID=55c9c8515c5c79d92ed68767a5ef7a6a&amp;node=40:15.0.1.1.1.12&amp;rgn=div6" TargetMode="External"/><Relationship Id="rId17" Type="http://schemas.openxmlformats.org/officeDocument/2006/relationships/image" Target="media/image1.gif"/><Relationship Id="rId25" Type="http://schemas.openxmlformats.org/officeDocument/2006/relationships/hyperlink" Target="http://www.ecfr.gov/cgi-bin/text-idx?SID=55c9c8515c5c79d92ed68767a5ef7a6a&amp;node=40:15.0.1.1.1.12&amp;rgn=div6"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ecfr.gov/cgi-bin/text-idx?SID=55c9c8515c5c79d92ed68767a5ef7a6a&amp;node=40:15.0.1.1.1.12&amp;rgn=div6#_top" TargetMode="External"/><Relationship Id="rId20" Type="http://schemas.openxmlformats.org/officeDocument/2006/relationships/hyperlink" Target="http://www.ecfr.gov/cgi-bin/text-idx?SID=55c9c8515c5c79d92ed68767a5ef7a6a&amp;node=40:15.0.1.1.1.12&amp;rgn=div6" TargetMode="External"/><Relationship Id="rId29" Type="http://schemas.openxmlformats.org/officeDocument/2006/relationships/hyperlink" Target="mailto:ecfr@nara.gov" TargetMode="External"/><Relationship Id="rId1" Type="http://schemas.openxmlformats.org/officeDocument/2006/relationships/styles" Target="styles.xml"/><Relationship Id="rId6" Type="http://schemas.openxmlformats.org/officeDocument/2006/relationships/hyperlink" Target="http://www.ecfr.gov/cgi-bin/text-idx?SID=55c9c8515c5c79d92ed68767a5ef7a6a&amp;node=40:15.0.1.1.1.12&amp;rgn=div6" TargetMode="External"/><Relationship Id="rId11" Type="http://schemas.openxmlformats.org/officeDocument/2006/relationships/hyperlink" Target="http://www.ecfr.gov/cgi-bin/text-idx?SID=55c9c8515c5c79d92ed68767a5ef7a6a&amp;node=40:15.0.1.1.1.12&amp;rgn=div6" TargetMode="External"/><Relationship Id="rId24" Type="http://schemas.openxmlformats.org/officeDocument/2006/relationships/hyperlink" Target="http://www.ecfr.gov/cgi-bin/text-idx?SID=55c9c8515c5c79d92ed68767a5ef7a6a&amp;node=40:15.0.1.1.1.12&amp;rgn=div6" TargetMode="External"/><Relationship Id="rId32" Type="http://schemas.openxmlformats.org/officeDocument/2006/relationships/hyperlink" Target="http://www.gpo.gov/etc/implinks.htm" TargetMode="External"/><Relationship Id="rId5" Type="http://schemas.openxmlformats.org/officeDocument/2006/relationships/hyperlink" Target="http://www.ecfr.gov/cgi-bin/text-idx?SID=55c9c8515c5c79d92ed68767a5ef7a6a&amp;node=40:15.0.1.1.1.12&amp;rgn=div6" TargetMode="External"/><Relationship Id="rId15" Type="http://schemas.openxmlformats.org/officeDocument/2006/relationships/hyperlink" Target="http://www.ecfr.gov/cgi-bin/text-idx?SID=55c9c8515c5c79d92ed68767a5ef7a6a&amp;node=40:15.0.1.1.1.12&amp;rgn=div6" TargetMode="External"/><Relationship Id="rId23" Type="http://schemas.openxmlformats.org/officeDocument/2006/relationships/hyperlink" Target="http://www.ecfr.gov/cgi-bin/text-idx?SID=55c9c8515c5c79d92ed68767a5ef7a6a&amp;node=40:15.0.1.1.1.12&amp;rgn=div6" TargetMode="External"/><Relationship Id="rId28" Type="http://schemas.openxmlformats.org/officeDocument/2006/relationships/hyperlink" Target="http://www.ecfr.gov/cgi-bin/text-idx?SID=55c9c8515c5c79d92ed68767a5ef7a6a&amp;node=40:15.0.1.1.1.12&amp;rgn=div6" TargetMode="External"/><Relationship Id="rId10" Type="http://schemas.openxmlformats.org/officeDocument/2006/relationships/hyperlink" Target="http://www.ecfr.gov/cgi-bin/text-idx?SID=55c9c8515c5c79d92ed68767a5ef7a6a&amp;node=40:15.0.1.1.1.12&amp;rgn=div6" TargetMode="External"/><Relationship Id="rId19" Type="http://schemas.openxmlformats.org/officeDocument/2006/relationships/hyperlink" Target="http://www.ecfr.gov/cgi-bin/text-idx?SID=55c9c8515c5c79d92ed68767a5ef7a6a&amp;node=40:15.0.1.1.1.12&amp;rgn=div6" TargetMode="External"/><Relationship Id="rId31" Type="http://schemas.openxmlformats.org/officeDocument/2006/relationships/hyperlink" Target="http://www.gpo.gov/etc/privacy.htm" TargetMode="External"/><Relationship Id="rId4" Type="http://schemas.openxmlformats.org/officeDocument/2006/relationships/hyperlink" Target="http://www.ecfr.gov/cgi-bin/text-idx?SID=55c9c8515c5c79d92ed68767a5ef7a6a&amp;node=40:15.0.1.1.1.12&amp;rgn=div6" TargetMode="External"/><Relationship Id="rId9" Type="http://schemas.openxmlformats.org/officeDocument/2006/relationships/hyperlink" Target="http://www.ecfr.gov/cgi-bin/text-idx?SID=55c9c8515c5c79d92ed68767a5ef7a6a&amp;node=40:15.0.1.1.1.12&amp;rgn=div6" TargetMode="External"/><Relationship Id="rId14" Type="http://schemas.openxmlformats.org/officeDocument/2006/relationships/hyperlink" Target="http://www.ecfr.gov/cgi-bin/text-idx?SID=55c9c8515c5c79d92ed68767a5ef7a6a&amp;node=40:15.0.1.1.1.12&amp;rgn=div6" TargetMode="External"/><Relationship Id="rId22" Type="http://schemas.openxmlformats.org/officeDocument/2006/relationships/hyperlink" Target="http://www.ecfr.gov/graphics/pdfs/er28de07.004.pdf" TargetMode="External"/><Relationship Id="rId27" Type="http://schemas.openxmlformats.org/officeDocument/2006/relationships/hyperlink" Target="http://www.ecfr.gov/cgi-bin/text-idx?SID=55c9c8515c5c79d92ed68767a5ef7a6a&amp;node=40:15.0.1.1.1.12&amp;rgn=div6" TargetMode="External"/><Relationship Id="rId30" Type="http://schemas.openxmlformats.org/officeDocument/2006/relationships/hyperlink" Target="mailto:webteam@gpo.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12</Pages>
  <Words>5762</Words>
  <Characters>32846</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38531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Yasmin Enriquez</dc:creator>
  <cp:keywords/>
  <dc:description/>
  <cp:lastModifiedBy>Yasmin Enriquez</cp:lastModifiedBy>
  <cp:revision>1</cp:revision>
  <dcterms:created xsi:type="dcterms:W3CDTF">2014-02-06T13:46:00Z</dcterms:created>
  <dcterms:modified xsi:type="dcterms:W3CDTF">2014-02-06T15:21:00Z</dcterms:modified>
</cp:coreProperties>
</file>